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CF861" w14:textId="77777777" w:rsidR="007F4BD1" w:rsidRPr="00A904A5" w:rsidRDefault="007F4BD1" w:rsidP="00183459">
      <w:pPr>
        <w:shd w:val="clear" w:color="auto" w:fill="FFFFFF"/>
        <w:spacing w:after="0" w:line="360" w:lineRule="auto"/>
        <w:jc w:val="both"/>
        <w:textAlignment w:val="baseline"/>
        <w:outlineLvl w:val="3"/>
        <w:rPr>
          <w:rFonts w:ascii="Arial" w:eastAsia="Times New Roman" w:hAnsi="Arial" w:cs="Arial"/>
          <w:color w:val="000000"/>
          <w:spacing w:val="30"/>
          <w:sz w:val="20"/>
          <w:szCs w:val="20"/>
          <w:lang w:eastAsia="es-ES"/>
        </w:rPr>
      </w:pPr>
      <w:r w:rsidRPr="00A904A5">
        <w:rPr>
          <w:rFonts w:ascii="Arial" w:eastAsia="Times New Roman" w:hAnsi="Arial" w:cs="Arial"/>
          <w:b/>
          <w:bCs/>
          <w:color w:val="000000"/>
          <w:spacing w:val="30"/>
          <w:sz w:val="20"/>
          <w:szCs w:val="20"/>
          <w:bdr w:val="none" w:sz="0" w:space="0" w:color="auto" w:frame="1"/>
          <w:lang w:eastAsia="es-ES"/>
        </w:rPr>
        <w:t>Instrucciones:</w:t>
      </w:r>
    </w:p>
    <w:p w14:paraId="697CC2DC" w14:textId="70592757" w:rsidR="00424415" w:rsidRPr="00A904A5" w:rsidRDefault="003F5E4C" w:rsidP="00F435EC">
      <w:pPr>
        <w:spacing w:line="360" w:lineRule="auto"/>
        <w:jc w:val="both"/>
        <w:rPr>
          <w:rFonts w:ascii="Arial" w:eastAsia="Times New Roman" w:hAnsi="Arial" w:cs="Arial"/>
          <w:i/>
          <w:iCs/>
          <w:sz w:val="20"/>
          <w:szCs w:val="20"/>
          <w:lang w:eastAsia="es-ES"/>
        </w:rPr>
      </w:pPr>
      <w:r w:rsidRPr="00A904A5">
        <w:rPr>
          <w:rFonts w:ascii="Arial" w:eastAsia="Times New Roman" w:hAnsi="Arial" w:cs="Arial"/>
          <w:i/>
          <w:iCs/>
          <w:sz w:val="20"/>
          <w:szCs w:val="20"/>
          <w:lang w:eastAsia="es-ES"/>
        </w:rPr>
        <w:t>1) Observa con atención las siguientes imágenes.</w:t>
      </w:r>
      <w:r w:rsidR="00A904A5">
        <w:rPr>
          <w:rFonts w:ascii="Arial" w:eastAsia="Times New Roman" w:hAnsi="Arial" w:cs="Arial"/>
          <w:i/>
          <w:iCs/>
          <w:sz w:val="20"/>
          <w:szCs w:val="20"/>
          <w:lang w:eastAsia="es-ES"/>
        </w:rPr>
        <w:t xml:space="preserve">; </w:t>
      </w:r>
      <w:r w:rsidRPr="00A904A5">
        <w:rPr>
          <w:rFonts w:ascii="Arial" w:eastAsia="Times New Roman" w:hAnsi="Arial" w:cs="Arial"/>
          <w:i/>
          <w:iCs/>
          <w:sz w:val="20"/>
          <w:szCs w:val="20"/>
          <w:lang w:eastAsia="es-ES"/>
        </w:rPr>
        <w:t>2) Selecciona una de las siguientes categorías: indígena, blanco/europeo, negro, mestizo o lo nacional.</w:t>
      </w:r>
      <w:r w:rsidR="00A904A5">
        <w:rPr>
          <w:rFonts w:ascii="Arial" w:eastAsia="Times New Roman" w:hAnsi="Arial" w:cs="Arial"/>
          <w:i/>
          <w:iCs/>
          <w:sz w:val="20"/>
          <w:szCs w:val="20"/>
          <w:lang w:eastAsia="es-ES"/>
        </w:rPr>
        <w:t xml:space="preserve">; </w:t>
      </w:r>
      <w:r w:rsidRPr="00A904A5">
        <w:rPr>
          <w:rFonts w:ascii="Arial" w:eastAsia="Times New Roman" w:hAnsi="Arial" w:cs="Arial"/>
          <w:i/>
          <w:iCs/>
          <w:sz w:val="20"/>
          <w:szCs w:val="20"/>
          <w:lang w:eastAsia="es-ES"/>
        </w:rPr>
        <w:t>3) Narra brevemente una historia de cómo se transformó la representación de la categoría que elegiste en cada una de las etapas.</w:t>
      </w:r>
      <w:r w:rsidR="00424415" w:rsidRPr="00A904A5">
        <w:rPr>
          <w:rFonts w:ascii="Arial" w:eastAsia="Times New Roman" w:hAnsi="Arial" w:cs="Arial"/>
          <w:i/>
          <w:iCs/>
          <w:sz w:val="20"/>
          <w:szCs w:val="20"/>
          <w:lang w:eastAsia="es-ES"/>
        </w:rPr>
        <w:t xml:space="preserve"> </w:t>
      </w:r>
      <w:r w:rsidRPr="00A904A5">
        <w:rPr>
          <w:rFonts w:ascii="Arial" w:eastAsia="Times New Roman" w:hAnsi="Arial" w:cs="Arial"/>
          <w:i/>
          <w:iCs/>
          <w:sz w:val="20"/>
          <w:szCs w:val="20"/>
          <w:lang w:eastAsia="es-ES"/>
        </w:rPr>
        <w:t>2 cuartillas máximo.</w:t>
      </w:r>
    </w:p>
    <w:p w14:paraId="16B3F256" w14:textId="1DA864BA" w:rsidR="00F435EC" w:rsidRPr="00424415" w:rsidRDefault="00424415" w:rsidP="00F435EC">
      <w:pPr>
        <w:spacing w:line="360" w:lineRule="auto"/>
        <w:jc w:val="both"/>
        <w:rPr>
          <w:rFonts w:ascii="Arial" w:eastAsia="Times New Roman" w:hAnsi="Arial" w:cs="Arial"/>
          <w:i/>
          <w:iCs/>
          <w:sz w:val="24"/>
          <w:szCs w:val="24"/>
          <w:lang w:eastAsia="es-ES"/>
        </w:rPr>
      </w:pPr>
      <w:r>
        <w:rPr>
          <w:rFonts w:ascii="Arial" w:hAnsi="Arial" w:cs="Arial"/>
          <w:sz w:val="24"/>
          <w:szCs w:val="24"/>
        </w:rPr>
        <w:t xml:space="preserve">Para esta tarea elijo la categoría de lo blanco/europeo. </w:t>
      </w:r>
    </w:p>
    <w:p w14:paraId="051526C3" w14:textId="5FF703A6" w:rsidR="000B203B" w:rsidRDefault="00424415" w:rsidP="00F435EC">
      <w:pPr>
        <w:spacing w:line="360" w:lineRule="auto"/>
        <w:jc w:val="both"/>
        <w:rPr>
          <w:rFonts w:ascii="Arial" w:hAnsi="Arial" w:cs="Arial"/>
          <w:sz w:val="24"/>
          <w:szCs w:val="24"/>
        </w:rPr>
      </w:pPr>
      <w:r>
        <w:rPr>
          <w:rFonts w:ascii="Arial" w:hAnsi="Arial" w:cs="Arial"/>
          <w:sz w:val="24"/>
          <w:szCs w:val="24"/>
        </w:rPr>
        <w:t xml:space="preserve">En el arte colonial de los siglos XVI – XIX se pueden apreciar representaciones de lo blanco/europeo que ya se perciben en los retratos de la Virgen de Guadalupe en la Nueva España en el siglo XVIII. La Virgen en ese caso fungía como un factor de identidad para los Novohispanos. Mientras </w:t>
      </w:r>
      <w:r w:rsidR="000B203B">
        <w:rPr>
          <w:rFonts w:ascii="Arial" w:hAnsi="Arial" w:cs="Arial"/>
          <w:sz w:val="24"/>
          <w:szCs w:val="24"/>
        </w:rPr>
        <w:t>que,</w:t>
      </w:r>
      <w:r>
        <w:rPr>
          <w:rFonts w:ascii="Arial" w:hAnsi="Arial" w:cs="Arial"/>
          <w:sz w:val="24"/>
          <w:szCs w:val="24"/>
        </w:rPr>
        <w:t xml:space="preserve"> por un lado, al lado de las representaciones de personas indígenas se encuentran representaciones de person</w:t>
      </w:r>
      <w:bookmarkStart w:id="0" w:name="_GoBack"/>
      <w:bookmarkEnd w:id="0"/>
      <w:r>
        <w:rPr>
          <w:rFonts w:ascii="Arial" w:hAnsi="Arial" w:cs="Arial"/>
          <w:sz w:val="24"/>
          <w:szCs w:val="24"/>
        </w:rPr>
        <w:t>as europeas o blancas</w:t>
      </w:r>
      <w:r w:rsidR="000B203B">
        <w:rPr>
          <w:rFonts w:ascii="Arial" w:hAnsi="Arial" w:cs="Arial"/>
          <w:sz w:val="24"/>
          <w:szCs w:val="24"/>
        </w:rPr>
        <w:t xml:space="preserve"> (en trajes reales)</w:t>
      </w:r>
      <w:r>
        <w:rPr>
          <w:rFonts w:ascii="Arial" w:hAnsi="Arial" w:cs="Arial"/>
          <w:sz w:val="24"/>
          <w:szCs w:val="24"/>
        </w:rPr>
        <w:t xml:space="preserve">, por el otro lado, los ángeles mismos </w:t>
      </w:r>
      <w:r w:rsidR="000B203B">
        <w:rPr>
          <w:rFonts w:ascii="Arial" w:hAnsi="Arial" w:cs="Arial"/>
          <w:sz w:val="24"/>
          <w:szCs w:val="24"/>
        </w:rPr>
        <w:t xml:space="preserve">que acompañan a la Virgen y a su descubrimiento son blancos u europeos. Por lo mismo se podrá sospechar, que mientras se trataba de unificar a los grupos dentro de la Nueva España por medio de esta figura religiosa, al mismo tiempo lo divino y religioso era considerado algo europeo. En las pinturas de castas a partir del 1760 que muestran las jerarquías sociales dentro de la colonia, se pueden apreciar situaciones de disputas entre las parejas representadas, mientras que antes del 1760 las pinturas de castas tenían un aspecto más neutral en su representación de la diversidad. Aquí lo europeo/blanco, sin embargo, todavía es el “componente” predominante en las combinaciones de las parejas. </w:t>
      </w:r>
    </w:p>
    <w:p w14:paraId="58364E83" w14:textId="77777777" w:rsidR="00426A96" w:rsidRDefault="000B203B" w:rsidP="00F435EC">
      <w:pPr>
        <w:spacing w:line="360" w:lineRule="auto"/>
        <w:jc w:val="both"/>
        <w:rPr>
          <w:rFonts w:ascii="Arial" w:hAnsi="Arial" w:cs="Arial"/>
          <w:sz w:val="24"/>
          <w:szCs w:val="24"/>
        </w:rPr>
      </w:pPr>
      <w:r>
        <w:rPr>
          <w:rFonts w:ascii="Arial" w:hAnsi="Arial" w:cs="Arial"/>
          <w:sz w:val="24"/>
          <w:szCs w:val="24"/>
        </w:rPr>
        <w:t>En el arte del Estado nacional liberal (1871-1911)</w:t>
      </w:r>
      <w:r w:rsidR="00426A96">
        <w:rPr>
          <w:rFonts w:ascii="Arial" w:hAnsi="Arial" w:cs="Arial"/>
          <w:sz w:val="24"/>
          <w:szCs w:val="24"/>
        </w:rPr>
        <w:t xml:space="preserve">, es decir en la pintura académica de ese periodo, y por ejemplo en los cuadros “México a través de los siglos” las representaciones de personas europeas/blancas aparecen como representaciones de conquistadores y habitantes contemporáneos. Incluso, la representación de México como mujer tiene un fenotipo y vestimenta que alude más a lo europeo y lo blanco. Así lo blanco y europeo es visto como lo mexicano en sí. Algo similar se puede observar en la estampa que recuerda el Centenario de la Independencia. </w:t>
      </w:r>
    </w:p>
    <w:p w14:paraId="02FDA7D6" w14:textId="236C6C13" w:rsidR="00B95F3E" w:rsidRDefault="00426A96" w:rsidP="00F435EC">
      <w:pPr>
        <w:spacing w:line="360" w:lineRule="auto"/>
        <w:jc w:val="both"/>
        <w:rPr>
          <w:rFonts w:ascii="Arial" w:hAnsi="Arial" w:cs="Arial"/>
          <w:sz w:val="24"/>
          <w:szCs w:val="24"/>
        </w:rPr>
      </w:pPr>
      <w:r>
        <w:rPr>
          <w:rFonts w:ascii="Arial" w:hAnsi="Arial" w:cs="Arial"/>
          <w:sz w:val="24"/>
          <w:szCs w:val="24"/>
        </w:rPr>
        <w:t xml:space="preserve">En el arte posrevolucionario (1911-1968) en el mural Cortes y </w:t>
      </w:r>
      <w:proofErr w:type="spellStart"/>
      <w:r>
        <w:rPr>
          <w:rFonts w:ascii="Arial" w:hAnsi="Arial" w:cs="Arial"/>
          <w:sz w:val="24"/>
          <w:szCs w:val="24"/>
        </w:rPr>
        <w:t>Malitzin</w:t>
      </w:r>
      <w:proofErr w:type="spellEnd"/>
      <w:r>
        <w:rPr>
          <w:rFonts w:ascii="Arial" w:hAnsi="Arial" w:cs="Arial"/>
          <w:sz w:val="24"/>
          <w:szCs w:val="24"/>
        </w:rPr>
        <w:t xml:space="preserve"> </w:t>
      </w:r>
      <w:r w:rsidR="00B95F3E">
        <w:rPr>
          <w:rFonts w:ascii="Arial" w:hAnsi="Arial" w:cs="Arial"/>
          <w:sz w:val="24"/>
          <w:szCs w:val="24"/>
        </w:rPr>
        <w:t xml:space="preserve">la representación de lo europeo es mas critica que en los periodos anteriores al pintar a Cortes como representación de lo blanco/europeo como un hombre que </w:t>
      </w:r>
      <w:r w:rsidR="00B95F3E">
        <w:rPr>
          <w:rFonts w:ascii="Arial" w:hAnsi="Arial" w:cs="Arial"/>
          <w:sz w:val="24"/>
          <w:szCs w:val="24"/>
        </w:rPr>
        <w:lastRenderedPageBreak/>
        <w:t>domina de forma letal a la mujer (</w:t>
      </w:r>
      <w:proofErr w:type="spellStart"/>
      <w:r w:rsidR="00B95F3E">
        <w:rPr>
          <w:rFonts w:ascii="Arial" w:hAnsi="Arial" w:cs="Arial"/>
          <w:sz w:val="24"/>
          <w:szCs w:val="24"/>
        </w:rPr>
        <w:t>Malitzin</w:t>
      </w:r>
      <w:proofErr w:type="spellEnd"/>
      <w:r w:rsidR="00B95F3E">
        <w:rPr>
          <w:rFonts w:ascii="Arial" w:hAnsi="Arial" w:cs="Arial"/>
          <w:sz w:val="24"/>
          <w:szCs w:val="24"/>
        </w:rPr>
        <w:t xml:space="preserve"> en este caso) y al hombre indígena. Por lo que se puede observar un cortinado negro y colores solemnes. Sin embargo, el solo hecho de tal unión apunta a la ideología del mestizaje que se trataba de propagar en la época posrevolucionaria. En el cuadro de Revueltas, El Congreso de Apatzingán, se pueden ver firmantes de la Constitución, así como combatientes. Varios de los firmantes de la Constitución eran de procedencia europea. Interesantemente, todos los protagonistas parecen tener su espacio, mientras que los combatientes (probablemente como representación de los grupos indígenas), no tienen rostro ni un espacio similar en el cuadro. Así resaltando el protagonismo de los firmantes y redactores (mayoritariamente blancos) de la Constitución. En el cuadro de </w:t>
      </w:r>
      <w:r w:rsidR="00FE61E2">
        <w:rPr>
          <w:rFonts w:ascii="Arial" w:hAnsi="Arial" w:cs="Arial"/>
          <w:sz w:val="24"/>
          <w:szCs w:val="24"/>
        </w:rPr>
        <w:t>Chávez</w:t>
      </w:r>
      <w:r w:rsidR="00B95F3E">
        <w:rPr>
          <w:rFonts w:ascii="Arial" w:hAnsi="Arial" w:cs="Arial"/>
          <w:sz w:val="24"/>
          <w:szCs w:val="24"/>
        </w:rPr>
        <w:t xml:space="preserve"> Morado, la Conquista Espiritual, lo europeo y blanco es </w:t>
      </w:r>
      <w:r w:rsidR="00FE61E2">
        <w:rPr>
          <w:rFonts w:ascii="Arial" w:hAnsi="Arial" w:cs="Arial"/>
          <w:sz w:val="24"/>
          <w:szCs w:val="24"/>
        </w:rPr>
        <w:t xml:space="preserve">representado por una figura de un Cristo herido. Así lo europeo es asociado con la religión católica en </w:t>
      </w:r>
      <w:r w:rsidR="00205841">
        <w:rPr>
          <w:rFonts w:ascii="Arial" w:hAnsi="Arial" w:cs="Arial"/>
          <w:sz w:val="24"/>
          <w:szCs w:val="24"/>
        </w:rPr>
        <w:t>específico,</w:t>
      </w:r>
      <w:r w:rsidR="00FE61E2">
        <w:rPr>
          <w:rFonts w:ascii="Arial" w:hAnsi="Arial" w:cs="Arial"/>
          <w:sz w:val="24"/>
          <w:szCs w:val="24"/>
        </w:rPr>
        <w:t xml:space="preserve"> pero también con la conquista de forma violenta</w:t>
      </w:r>
      <w:r w:rsidR="00205841">
        <w:rPr>
          <w:rFonts w:ascii="Arial" w:hAnsi="Arial" w:cs="Arial"/>
          <w:sz w:val="24"/>
          <w:szCs w:val="24"/>
        </w:rPr>
        <w:t xml:space="preserve">. Finalmente, en el cuadro La Vendimia Nacional de González Camarena, lo mexicano es representado por varias mujeres en trajes asociadas con distintas regiones. Ante todo, lo blanco y europeo parece como la figura central, es la mujer que carga la bandera. Así </w:t>
      </w:r>
      <w:proofErr w:type="spellStart"/>
      <w:r w:rsidR="00205841">
        <w:rPr>
          <w:rFonts w:ascii="Arial" w:hAnsi="Arial" w:cs="Arial"/>
          <w:sz w:val="24"/>
          <w:szCs w:val="24"/>
        </w:rPr>
        <w:t>enalzando</w:t>
      </w:r>
      <w:proofErr w:type="spellEnd"/>
      <w:r w:rsidR="00205841">
        <w:rPr>
          <w:rFonts w:ascii="Arial" w:hAnsi="Arial" w:cs="Arial"/>
          <w:sz w:val="24"/>
          <w:szCs w:val="24"/>
        </w:rPr>
        <w:t xml:space="preserve"> o probablemente aludiendo a que lo europeo es lo que </w:t>
      </w:r>
      <w:proofErr w:type="spellStart"/>
      <w:r w:rsidR="00205841">
        <w:rPr>
          <w:rFonts w:ascii="Arial" w:hAnsi="Arial" w:cs="Arial"/>
          <w:sz w:val="24"/>
          <w:szCs w:val="24"/>
        </w:rPr>
        <w:t>enalza</w:t>
      </w:r>
      <w:proofErr w:type="spellEnd"/>
      <w:r w:rsidR="00205841">
        <w:rPr>
          <w:rFonts w:ascii="Arial" w:hAnsi="Arial" w:cs="Arial"/>
          <w:sz w:val="24"/>
          <w:szCs w:val="24"/>
        </w:rPr>
        <w:t xml:space="preserve"> a la nación mexicana. </w:t>
      </w:r>
    </w:p>
    <w:p w14:paraId="6E0DD0C2" w14:textId="24C92CD8" w:rsidR="000B203B" w:rsidRPr="00424415" w:rsidRDefault="00205841" w:rsidP="00F435EC">
      <w:pPr>
        <w:spacing w:line="360" w:lineRule="auto"/>
        <w:jc w:val="both"/>
        <w:rPr>
          <w:rFonts w:ascii="Arial" w:hAnsi="Arial" w:cs="Arial"/>
          <w:sz w:val="24"/>
          <w:szCs w:val="24"/>
        </w:rPr>
      </w:pPr>
      <w:r>
        <w:rPr>
          <w:rFonts w:ascii="Arial" w:hAnsi="Arial" w:cs="Arial"/>
          <w:sz w:val="24"/>
          <w:szCs w:val="24"/>
        </w:rPr>
        <w:t xml:space="preserve">En el arte contemporáneo después del año 1968, por ejemplo, en el </w:t>
      </w:r>
      <w:r w:rsidR="00A904A5">
        <w:rPr>
          <w:rFonts w:ascii="Arial" w:hAnsi="Arial" w:cs="Arial"/>
          <w:sz w:val="24"/>
          <w:szCs w:val="24"/>
        </w:rPr>
        <w:t>mural</w:t>
      </w:r>
      <w:r>
        <w:rPr>
          <w:rFonts w:ascii="Arial" w:hAnsi="Arial" w:cs="Arial"/>
          <w:sz w:val="24"/>
          <w:szCs w:val="24"/>
        </w:rPr>
        <w:t xml:space="preserve"> de Belkin</w:t>
      </w:r>
      <w:r w:rsidR="00A904A5">
        <w:rPr>
          <w:rFonts w:ascii="Arial" w:hAnsi="Arial" w:cs="Arial"/>
          <w:sz w:val="24"/>
          <w:szCs w:val="24"/>
        </w:rPr>
        <w:t xml:space="preserve">, el Descubrimiento y la Conquista del Nuevo Mundo, los cuerpos de las figuras humanas tienen colores que no parecen representar colores de piel. Lo europeo o blanco es sobre todo representado por conquistadores españoles que aparecen en tonos grises, cafés y azules y que se encuentran a cada lado del mural. Ya no son la figura central. Al final, en la impresión sobre mármol de Martínez Silva, las figuras europeas son tomados de pinturas de la época colonial que hablan sobre la tortura y el linchamiento de personas indígenas por los conquistadores españoles. De tal forma, resaltando la violencia que ha emanado de las relaciones coloniales y en específico de los colonos europeos. Al escribir TLCAN y </w:t>
      </w:r>
      <w:proofErr w:type="gramStart"/>
      <w:r w:rsidR="00A904A5">
        <w:rPr>
          <w:rFonts w:ascii="Arial" w:hAnsi="Arial" w:cs="Arial"/>
          <w:sz w:val="24"/>
          <w:szCs w:val="24"/>
        </w:rPr>
        <w:t>Nos-otros</w:t>
      </w:r>
      <w:proofErr w:type="gramEnd"/>
      <w:r w:rsidR="00A904A5">
        <w:rPr>
          <w:rFonts w:ascii="Arial" w:hAnsi="Arial" w:cs="Arial"/>
          <w:sz w:val="24"/>
          <w:szCs w:val="24"/>
        </w:rPr>
        <w:t xml:space="preserve"> sobre estas imágenes antiguas, aludiendo a que estas practicas y estas formas coloniales todavía siguen vigentes hoy en día. </w:t>
      </w:r>
    </w:p>
    <w:sectPr w:rsidR="000B203B" w:rsidRPr="00424415">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C11D6" w14:textId="77777777" w:rsidR="004F4B87" w:rsidRDefault="004F4B87" w:rsidP="00183459">
      <w:pPr>
        <w:spacing w:after="0" w:line="240" w:lineRule="auto"/>
      </w:pPr>
      <w:r>
        <w:separator/>
      </w:r>
    </w:p>
  </w:endnote>
  <w:endnote w:type="continuationSeparator" w:id="0">
    <w:p w14:paraId="6A25CA07" w14:textId="77777777" w:rsidR="004F4B87" w:rsidRDefault="004F4B87" w:rsidP="0018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366A5" w14:textId="77777777" w:rsidR="004F4B87" w:rsidRDefault="004F4B87" w:rsidP="00183459">
      <w:pPr>
        <w:spacing w:after="0" w:line="240" w:lineRule="auto"/>
      </w:pPr>
      <w:r>
        <w:separator/>
      </w:r>
    </w:p>
  </w:footnote>
  <w:footnote w:type="continuationSeparator" w:id="0">
    <w:p w14:paraId="2A50BD72" w14:textId="77777777" w:rsidR="004F4B87" w:rsidRDefault="004F4B87" w:rsidP="00183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63C7" w14:textId="77777777" w:rsidR="00183459" w:rsidRDefault="00183459" w:rsidP="00183459">
    <w:pPr>
      <w:pStyle w:val="Encabezado"/>
    </w:pPr>
    <w:r>
      <w:t xml:space="preserve">Nombre: Melanie Nayeli </w:t>
    </w:r>
    <w:proofErr w:type="spellStart"/>
    <w:r>
      <w:t>Wieschalla</w:t>
    </w:r>
    <w:proofErr w:type="spellEnd"/>
    <w:r>
      <w:t xml:space="preserve"> Bonilla</w:t>
    </w:r>
  </w:p>
  <w:p w14:paraId="37C58ACE" w14:textId="2424A20A" w:rsidR="00183459" w:rsidRDefault="00183459">
    <w:pPr>
      <w:pStyle w:val="Encabezado"/>
    </w:pPr>
    <w:r>
      <w:t>Fecha: 0</w:t>
    </w:r>
    <w:r w:rsidR="00424415">
      <w:t>7</w:t>
    </w:r>
    <w:r>
      <w:t>.03.2020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690"/>
    <w:rsid w:val="000B203B"/>
    <w:rsid w:val="00183459"/>
    <w:rsid w:val="00205841"/>
    <w:rsid w:val="00251727"/>
    <w:rsid w:val="003F5E4C"/>
    <w:rsid w:val="00424415"/>
    <w:rsid w:val="00424690"/>
    <w:rsid w:val="00426A96"/>
    <w:rsid w:val="004811DD"/>
    <w:rsid w:val="004F4B87"/>
    <w:rsid w:val="007F4BD1"/>
    <w:rsid w:val="00A904A5"/>
    <w:rsid w:val="00B95F3E"/>
    <w:rsid w:val="00CD2A76"/>
    <w:rsid w:val="00D800D5"/>
    <w:rsid w:val="00F435EC"/>
    <w:rsid w:val="00F56D64"/>
    <w:rsid w:val="00FD44F1"/>
    <w:rsid w:val="00FE61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70EE3"/>
  <w15:chartTrackingRefBased/>
  <w15:docId w15:val="{32ED4EDA-CAF9-4D1B-BBB7-A21117BA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7F4BD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7F4BD1"/>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7F4BD1"/>
    <w:rPr>
      <w:b/>
      <w:bCs/>
    </w:rPr>
  </w:style>
  <w:style w:type="paragraph" w:styleId="NormalWeb">
    <w:name w:val="Normal (Web)"/>
    <w:basedOn w:val="Normal"/>
    <w:uiPriority w:val="99"/>
    <w:semiHidden/>
    <w:unhideWhenUsed/>
    <w:rsid w:val="007F4BD1"/>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39"/>
    <w:rsid w:val="00183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834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3459"/>
    <w:rPr>
      <w:rFonts w:ascii="Segoe UI" w:hAnsi="Segoe UI" w:cs="Segoe UI"/>
      <w:sz w:val="18"/>
      <w:szCs w:val="18"/>
    </w:rPr>
  </w:style>
  <w:style w:type="paragraph" w:styleId="Encabezado">
    <w:name w:val="header"/>
    <w:basedOn w:val="Normal"/>
    <w:link w:val="EncabezadoCar"/>
    <w:uiPriority w:val="99"/>
    <w:unhideWhenUsed/>
    <w:rsid w:val="0018345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459"/>
  </w:style>
  <w:style w:type="paragraph" w:styleId="Piedepgina">
    <w:name w:val="footer"/>
    <w:basedOn w:val="Normal"/>
    <w:link w:val="PiedepginaCar"/>
    <w:uiPriority w:val="99"/>
    <w:unhideWhenUsed/>
    <w:rsid w:val="0018345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20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2</Pages>
  <Words>716</Words>
  <Characters>3943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6</cp:revision>
  <dcterms:created xsi:type="dcterms:W3CDTF">2020-02-27T18:50:00Z</dcterms:created>
  <dcterms:modified xsi:type="dcterms:W3CDTF">2020-03-07T19:02:00Z</dcterms:modified>
</cp:coreProperties>
</file>