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AE2" w:rsidRDefault="00940AE2" w:rsidP="00AD4ED2">
      <w:pPr>
        <w:rPr>
          <w:rFonts w:ascii="Arial" w:hAnsi="Arial" w:cs="Arial"/>
          <w:color w:val="626262"/>
          <w:sz w:val="24"/>
          <w:szCs w:val="24"/>
          <w:shd w:val="clear" w:color="auto" w:fill="FFFFFF"/>
        </w:rPr>
      </w:pPr>
    </w:p>
    <w:p w:rsidR="00AD4ED2" w:rsidRDefault="00AD4ED2" w:rsidP="00F73388">
      <w:pPr>
        <w:jc w:val="center"/>
        <w:rPr>
          <w:rFonts w:ascii="Arial" w:hAnsi="Arial" w:cs="Arial"/>
          <w:color w:val="626262"/>
          <w:sz w:val="24"/>
          <w:szCs w:val="24"/>
          <w:shd w:val="clear" w:color="auto" w:fill="FFFFFF"/>
        </w:rPr>
      </w:pPr>
    </w:p>
    <w:p w:rsidR="00AD4ED2" w:rsidRPr="00AD4ED2" w:rsidRDefault="00AD4ED2" w:rsidP="00AD4ED2">
      <w:pPr>
        <w:rPr>
          <w:rFonts w:ascii="Arial" w:hAnsi="Arial" w:cs="Arial"/>
          <w:i/>
          <w:color w:val="626262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626262"/>
          <w:sz w:val="24"/>
          <w:szCs w:val="24"/>
          <w:shd w:val="clear" w:color="auto" w:fill="FFFFFF"/>
        </w:rPr>
        <w:t>1. Cuadro comparativo</w:t>
      </w:r>
      <w:r w:rsidRPr="00AD4ED2">
        <w:rPr>
          <w:rFonts w:ascii="Arial" w:hAnsi="Arial" w:cs="Arial"/>
          <w:i/>
          <w:color w:val="626262"/>
          <w:sz w:val="24"/>
          <w:szCs w:val="24"/>
          <w:shd w:val="clear" w:color="auto" w:fill="FFFFFF"/>
        </w:rPr>
        <w:t>.</w:t>
      </w:r>
    </w:p>
    <w:p w:rsidR="00AD4ED2" w:rsidRPr="005A61F8" w:rsidRDefault="00AD4ED2" w:rsidP="00F73388">
      <w:pPr>
        <w:jc w:val="center"/>
        <w:rPr>
          <w:rFonts w:ascii="Arial" w:hAnsi="Arial" w:cs="Arial"/>
          <w:color w:val="626262"/>
          <w:sz w:val="24"/>
          <w:szCs w:val="24"/>
          <w:shd w:val="clear" w:color="auto" w:fill="FFFFFF"/>
        </w:rPr>
      </w:pPr>
    </w:p>
    <w:tbl>
      <w:tblPr>
        <w:tblStyle w:val="Tablaconcuadrcula"/>
        <w:tblW w:w="9262" w:type="dxa"/>
        <w:tblLook w:val="04A0" w:firstRow="1" w:lastRow="0" w:firstColumn="1" w:lastColumn="0" w:noHBand="0" w:noVBand="1"/>
      </w:tblPr>
      <w:tblGrid>
        <w:gridCol w:w="3539"/>
        <w:gridCol w:w="1092"/>
        <w:gridCol w:w="1176"/>
        <w:gridCol w:w="3455"/>
      </w:tblGrid>
      <w:tr w:rsidR="00940AE2" w:rsidRPr="005A61F8" w:rsidTr="00AD4ED2">
        <w:trPr>
          <w:trHeight w:val="264"/>
        </w:trPr>
        <w:tc>
          <w:tcPr>
            <w:tcW w:w="4631" w:type="dxa"/>
            <w:gridSpan w:val="2"/>
          </w:tcPr>
          <w:p w:rsidR="00940AE2" w:rsidRPr="005A61F8" w:rsidRDefault="00F73388" w:rsidP="00F73388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color w:val="7030A0"/>
                <w:sz w:val="24"/>
                <w:szCs w:val="24"/>
              </w:rPr>
              <w:t>Verónica López Nájera</w:t>
            </w:r>
          </w:p>
        </w:tc>
        <w:tc>
          <w:tcPr>
            <w:tcW w:w="4631" w:type="dxa"/>
            <w:gridSpan w:val="2"/>
          </w:tcPr>
          <w:p w:rsidR="00940AE2" w:rsidRPr="005A61F8" w:rsidRDefault="00F73388" w:rsidP="00F73388">
            <w:pPr>
              <w:jc w:val="center"/>
              <w:rPr>
                <w:rFonts w:ascii="Arial" w:hAnsi="Arial" w:cs="Arial"/>
                <w:b/>
                <w:color w:val="7030A0"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color w:val="7030A0"/>
                <w:sz w:val="24"/>
                <w:szCs w:val="24"/>
              </w:rPr>
              <w:t>María Elisa Velásquez</w:t>
            </w:r>
          </w:p>
        </w:tc>
      </w:tr>
      <w:tr w:rsidR="00F73388" w:rsidRPr="005A61F8" w:rsidTr="00AD4ED2">
        <w:trPr>
          <w:trHeight w:val="345"/>
        </w:trPr>
        <w:tc>
          <w:tcPr>
            <w:tcW w:w="3539" w:type="dxa"/>
          </w:tcPr>
          <w:p w:rsidR="00F73388" w:rsidRPr="005A61F8" w:rsidRDefault="00F73388" w:rsidP="00F73388">
            <w:pPr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color w:val="00B050"/>
                <w:sz w:val="24"/>
                <w:szCs w:val="24"/>
              </w:rPr>
              <w:t>Diferencia</w:t>
            </w:r>
          </w:p>
        </w:tc>
        <w:tc>
          <w:tcPr>
            <w:tcW w:w="2268" w:type="dxa"/>
            <w:gridSpan w:val="2"/>
          </w:tcPr>
          <w:p w:rsidR="00F73388" w:rsidRPr="005A61F8" w:rsidRDefault="00F73388" w:rsidP="00F73388">
            <w:pPr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color w:val="00B050"/>
                <w:sz w:val="24"/>
                <w:szCs w:val="24"/>
              </w:rPr>
              <w:t>Similitudes</w:t>
            </w:r>
          </w:p>
        </w:tc>
        <w:tc>
          <w:tcPr>
            <w:tcW w:w="3455" w:type="dxa"/>
          </w:tcPr>
          <w:p w:rsidR="00F73388" w:rsidRPr="005A61F8" w:rsidRDefault="00F73388" w:rsidP="00F73388">
            <w:pPr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color w:val="00B050"/>
                <w:sz w:val="24"/>
                <w:szCs w:val="24"/>
              </w:rPr>
              <w:t>Diferencia</w:t>
            </w:r>
          </w:p>
        </w:tc>
      </w:tr>
      <w:tr w:rsidR="00F73388" w:rsidRPr="005A61F8" w:rsidTr="00AD4ED2">
        <w:trPr>
          <w:trHeight w:val="765"/>
        </w:trPr>
        <w:tc>
          <w:tcPr>
            <w:tcW w:w="3539" w:type="dxa"/>
          </w:tcPr>
          <w:p w:rsidR="00F73388" w:rsidRPr="005A61F8" w:rsidRDefault="004E6C84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 xml:space="preserve">Su estudio se enfoca en la teoría </w:t>
            </w:r>
            <w:proofErr w:type="spellStart"/>
            <w:r w:rsidRPr="005A61F8">
              <w:rPr>
                <w:rFonts w:ascii="Arial" w:hAnsi="Arial" w:cs="Arial"/>
                <w:sz w:val="24"/>
                <w:szCs w:val="24"/>
              </w:rPr>
              <w:t>des</w:t>
            </w:r>
            <w:r w:rsidR="00056359" w:rsidRPr="005A61F8">
              <w:rPr>
                <w:rFonts w:ascii="Arial" w:hAnsi="Arial" w:cs="Arial"/>
                <w:sz w:val="24"/>
                <w:szCs w:val="24"/>
              </w:rPr>
              <w:t>colonial</w:t>
            </w:r>
            <w:proofErr w:type="spellEnd"/>
            <w:r w:rsidRPr="005A61F8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5A61F8">
              <w:rPr>
                <w:rFonts w:ascii="Arial" w:hAnsi="Arial" w:cs="Arial"/>
                <w:sz w:val="24"/>
                <w:szCs w:val="24"/>
              </w:rPr>
              <w:t>decolonial</w:t>
            </w:r>
            <w:proofErr w:type="spellEnd"/>
            <w:r w:rsidR="00056359" w:rsidRPr="005A61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E6C84" w:rsidRPr="005A61F8" w:rsidRDefault="004E6C84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Modelo complejo, no heterogéneo: 5 diferentes modelos</w:t>
            </w:r>
          </w:p>
        </w:tc>
        <w:tc>
          <w:tcPr>
            <w:tcW w:w="2268" w:type="dxa"/>
            <w:gridSpan w:val="2"/>
          </w:tcPr>
          <w:p w:rsidR="00F73388" w:rsidRPr="005A61F8" w:rsidRDefault="00654FC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sz w:val="24"/>
                <w:szCs w:val="24"/>
              </w:rPr>
              <w:t>La época colonial fue extensa y heterogénea</w:t>
            </w:r>
            <w:r w:rsidR="004E6C84" w:rsidRPr="005A61F8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55" w:type="dxa"/>
          </w:tcPr>
          <w:p w:rsidR="00F73388" w:rsidRPr="005A61F8" w:rsidRDefault="004E6C84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Su estudio se</w:t>
            </w:r>
            <w:r w:rsidR="00056359" w:rsidRPr="005A61F8">
              <w:rPr>
                <w:rFonts w:ascii="Arial" w:hAnsi="Arial" w:cs="Arial"/>
                <w:sz w:val="24"/>
                <w:szCs w:val="24"/>
              </w:rPr>
              <w:t xml:space="preserve"> enfoca en el legado de los afro descendientes en México</w:t>
            </w:r>
            <w:r w:rsidRPr="005A61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73388" w:rsidRPr="005A61F8" w:rsidTr="00AD4ED2">
        <w:trPr>
          <w:trHeight w:val="765"/>
        </w:trPr>
        <w:tc>
          <w:tcPr>
            <w:tcW w:w="3539" w:type="dxa"/>
          </w:tcPr>
          <w:p w:rsidR="00F73388" w:rsidRPr="005A61F8" w:rsidRDefault="004E6C84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3 Momentos : Conquista, Estabilización</w:t>
            </w:r>
            <w:r w:rsidR="00654FCF" w:rsidRPr="005A61F8">
              <w:rPr>
                <w:rFonts w:ascii="Arial" w:hAnsi="Arial" w:cs="Arial"/>
                <w:sz w:val="24"/>
                <w:szCs w:val="24"/>
              </w:rPr>
              <w:t xml:space="preserve"> del modelo</w:t>
            </w:r>
            <w:r w:rsidR="0011643F" w:rsidRPr="005A61F8">
              <w:rPr>
                <w:rFonts w:ascii="Arial" w:hAnsi="Arial" w:cs="Arial"/>
                <w:sz w:val="24"/>
                <w:szCs w:val="24"/>
              </w:rPr>
              <w:t xml:space="preserve"> colonial</w:t>
            </w:r>
            <w:r w:rsidRPr="005A61F8">
              <w:rPr>
                <w:rFonts w:ascii="Arial" w:hAnsi="Arial" w:cs="Arial"/>
                <w:sz w:val="24"/>
                <w:szCs w:val="24"/>
              </w:rPr>
              <w:t>, Implementación de las reformas borbónicas</w:t>
            </w:r>
          </w:p>
        </w:tc>
        <w:tc>
          <w:tcPr>
            <w:tcW w:w="2268" w:type="dxa"/>
            <w:gridSpan w:val="2"/>
          </w:tcPr>
          <w:p w:rsidR="00F73388" w:rsidRPr="005A61F8" w:rsidRDefault="004E6C84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La implementación de las Reformas</w:t>
            </w:r>
            <w:r w:rsidR="00654FCF" w:rsidRPr="005A61F8">
              <w:rPr>
                <w:rFonts w:ascii="Arial" w:hAnsi="Arial" w:cs="Arial"/>
                <w:sz w:val="24"/>
                <w:szCs w:val="24"/>
              </w:rPr>
              <w:t xml:space="preserve"> B</w:t>
            </w:r>
            <w:r w:rsidRPr="005A61F8">
              <w:rPr>
                <w:rFonts w:ascii="Arial" w:hAnsi="Arial" w:cs="Arial"/>
                <w:sz w:val="24"/>
                <w:szCs w:val="24"/>
              </w:rPr>
              <w:t xml:space="preserve">orbónicas </w:t>
            </w:r>
            <w:r w:rsidR="00654FCF" w:rsidRPr="005A61F8">
              <w:rPr>
                <w:rFonts w:ascii="Arial" w:hAnsi="Arial" w:cs="Arial"/>
                <w:sz w:val="24"/>
                <w:szCs w:val="24"/>
              </w:rPr>
              <w:t>marcó</w:t>
            </w:r>
            <w:r w:rsidRPr="005A61F8">
              <w:rPr>
                <w:rFonts w:ascii="Arial" w:hAnsi="Arial" w:cs="Arial"/>
                <w:sz w:val="24"/>
                <w:szCs w:val="24"/>
              </w:rPr>
              <w:t xml:space="preserve"> la pauta de las rebeliones indígenas</w:t>
            </w:r>
            <w:r w:rsidR="0011643F" w:rsidRPr="005A61F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55" w:type="dxa"/>
          </w:tcPr>
          <w:p w:rsidR="00F73388" w:rsidRPr="005A61F8" w:rsidRDefault="0011643F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 xml:space="preserve">Sociedad estamental, desigual y con muchas divisiones. La condición económica y el trabajo desigual. </w:t>
            </w:r>
          </w:p>
        </w:tc>
      </w:tr>
      <w:tr w:rsidR="00F73388" w:rsidRPr="005A61F8" w:rsidTr="00AD4ED2">
        <w:trPr>
          <w:trHeight w:val="716"/>
        </w:trPr>
        <w:tc>
          <w:tcPr>
            <w:tcW w:w="3539" w:type="dxa"/>
          </w:tcPr>
          <w:p w:rsidR="00F73388" w:rsidRPr="005A61F8" w:rsidRDefault="0011643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sz w:val="24"/>
                <w:szCs w:val="24"/>
              </w:rPr>
              <w:t>El r</w:t>
            </w:r>
            <w:r w:rsidR="004E6C84" w:rsidRPr="005A61F8">
              <w:rPr>
                <w:rFonts w:ascii="Arial" w:hAnsi="Arial" w:cs="Arial"/>
                <w:b/>
                <w:sz w:val="24"/>
                <w:szCs w:val="24"/>
              </w:rPr>
              <w:t>acismo se manifiesta como el</w:t>
            </w:r>
            <w:r w:rsidR="003C1E4B" w:rsidRPr="005A61F8">
              <w:rPr>
                <w:rFonts w:ascii="Arial" w:hAnsi="Arial" w:cs="Arial"/>
                <w:b/>
                <w:sz w:val="24"/>
                <w:szCs w:val="24"/>
              </w:rPr>
              <w:t xml:space="preserve"> principio</w:t>
            </w:r>
            <w:r w:rsidR="004E6C84" w:rsidRPr="005A61F8">
              <w:rPr>
                <w:rFonts w:ascii="Arial" w:hAnsi="Arial" w:cs="Arial"/>
                <w:b/>
                <w:sz w:val="24"/>
                <w:szCs w:val="24"/>
              </w:rPr>
              <w:t xml:space="preserve"> o</w:t>
            </w:r>
            <w:r w:rsidR="003C1E4B" w:rsidRPr="005A61F8">
              <w:rPr>
                <w:rFonts w:ascii="Arial" w:hAnsi="Arial" w:cs="Arial"/>
                <w:b/>
                <w:sz w:val="24"/>
                <w:szCs w:val="24"/>
              </w:rPr>
              <w:t>rganizador de las nuevas sociedades en el nuevo sistema global</w:t>
            </w:r>
          </w:p>
        </w:tc>
        <w:tc>
          <w:tcPr>
            <w:tcW w:w="2268" w:type="dxa"/>
            <w:gridSpan w:val="2"/>
          </w:tcPr>
          <w:p w:rsidR="00F73388" w:rsidRPr="005A61F8" w:rsidRDefault="00AD4ED2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Puestos de mando y gobierno son los peninsulares, españoles que vienen a la América. Indígenas y Afros contribuyen con trabajo servil.</w:t>
            </w:r>
          </w:p>
        </w:tc>
        <w:tc>
          <w:tcPr>
            <w:tcW w:w="3455" w:type="dxa"/>
          </w:tcPr>
          <w:p w:rsidR="00F73388" w:rsidRPr="005A61F8" w:rsidRDefault="0011643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A61F8">
              <w:rPr>
                <w:rFonts w:ascii="Arial" w:hAnsi="Arial" w:cs="Arial"/>
                <w:b/>
                <w:sz w:val="24"/>
                <w:szCs w:val="24"/>
              </w:rPr>
              <w:t xml:space="preserve">La sociedad colonial no era una sociedad de castas. </w:t>
            </w:r>
          </w:p>
        </w:tc>
      </w:tr>
      <w:tr w:rsidR="00F73388" w:rsidRPr="005A61F8" w:rsidTr="00AD4ED2">
        <w:trPr>
          <w:trHeight w:val="765"/>
        </w:trPr>
        <w:tc>
          <w:tcPr>
            <w:tcW w:w="3539" w:type="dxa"/>
          </w:tcPr>
          <w:p w:rsidR="00F73388" w:rsidRPr="005A61F8" w:rsidRDefault="003C1E4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A61F8">
              <w:rPr>
                <w:rFonts w:ascii="Arial" w:hAnsi="Arial" w:cs="Arial"/>
                <w:b/>
                <w:sz w:val="24"/>
                <w:szCs w:val="24"/>
              </w:rPr>
              <w:t>Completud</w:t>
            </w:r>
            <w:proofErr w:type="spellEnd"/>
            <w:r w:rsidRPr="005A61F8">
              <w:rPr>
                <w:rFonts w:ascii="Arial" w:hAnsi="Arial" w:cs="Arial"/>
                <w:b/>
                <w:sz w:val="24"/>
                <w:szCs w:val="24"/>
              </w:rPr>
              <w:t xml:space="preserve"> del mundo, se configura la idea del mundo como lo conocemos hoy.</w:t>
            </w:r>
          </w:p>
        </w:tc>
        <w:tc>
          <w:tcPr>
            <w:tcW w:w="2268" w:type="dxa"/>
            <w:gridSpan w:val="2"/>
          </w:tcPr>
          <w:p w:rsidR="00F73388" w:rsidRPr="005A61F8" w:rsidRDefault="00F733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5" w:type="dxa"/>
          </w:tcPr>
          <w:p w:rsidR="00F73388" w:rsidRPr="005A61F8" w:rsidRDefault="0011643F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El racismo surge después del período de la ilustración y los derechos humanos como una ideología justificadora del int</w:t>
            </w:r>
            <w:r w:rsidR="00654FCF" w:rsidRPr="005A61F8">
              <w:rPr>
                <w:rFonts w:ascii="Arial" w:hAnsi="Arial" w:cs="Arial"/>
                <w:sz w:val="24"/>
                <w:szCs w:val="24"/>
              </w:rPr>
              <w:t xml:space="preserve">enso tráfico humano de africanos. </w:t>
            </w:r>
            <w:r w:rsidRPr="005A61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73388" w:rsidRPr="005A61F8" w:rsidTr="00AD4ED2">
        <w:trPr>
          <w:trHeight w:val="716"/>
        </w:trPr>
        <w:tc>
          <w:tcPr>
            <w:tcW w:w="3539" w:type="dxa"/>
          </w:tcPr>
          <w:p w:rsidR="00F73388" w:rsidRPr="005A61F8" w:rsidRDefault="003C1E4B" w:rsidP="0011643F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4 dimensiones del patrón moderno-colonial: 1. Organización productiva, política y social, sexo genérica, construcción del conocimiento</w:t>
            </w:r>
          </w:p>
        </w:tc>
        <w:tc>
          <w:tcPr>
            <w:tcW w:w="2268" w:type="dxa"/>
            <w:gridSpan w:val="2"/>
          </w:tcPr>
          <w:p w:rsidR="00F73388" w:rsidRPr="005A61F8" w:rsidRDefault="00F733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5" w:type="dxa"/>
          </w:tcPr>
          <w:p w:rsidR="00F73388" w:rsidRPr="005A61F8" w:rsidRDefault="0011643F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 xml:space="preserve">Los cuadros de castas eran más </w:t>
            </w:r>
            <w:r w:rsidR="00AD4ED2">
              <w:rPr>
                <w:rFonts w:ascii="Arial" w:hAnsi="Arial" w:cs="Arial"/>
                <w:sz w:val="24"/>
                <w:szCs w:val="24"/>
              </w:rPr>
              <w:t xml:space="preserve">bien </w:t>
            </w:r>
            <w:r w:rsidRPr="005A61F8">
              <w:rPr>
                <w:rFonts w:ascii="Arial" w:hAnsi="Arial" w:cs="Arial"/>
                <w:sz w:val="24"/>
                <w:szCs w:val="24"/>
              </w:rPr>
              <w:t>postales, clasificación y ca</w:t>
            </w:r>
            <w:r w:rsidR="00654FCF" w:rsidRPr="005A61F8">
              <w:rPr>
                <w:rFonts w:ascii="Arial" w:hAnsi="Arial" w:cs="Arial"/>
                <w:sz w:val="24"/>
                <w:szCs w:val="24"/>
              </w:rPr>
              <w:t>tegorizació</w:t>
            </w:r>
            <w:r w:rsidRPr="005A61F8">
              <w:rPr>
                <w:rFonts w:ascii="Arial" w:hAnsi="Arial" w:cs="Arial"/>
                <w:sz w:val="24"/>
                <w:szCs w:val="24"/>
              </w:rPr>
              <w:t xml:space="preserve">n de la diversidad cultural humana. </w:t>
            </w:r>
          </w:p>
        </w:tc>
      </w:tr>
      <w:tr w:rsidR="0060317A" w:rsidRPr="005A61F8" w:rsidTr="00AD4ED2">
        <w:trPr>
          <w:trHeight w:val="716"/>
        </w:trPr>
        <w:tc>
          <w:tcPr>
            <w:tcW w:w="3539" w:type="dxa"/>
          </w:tcPr>
          <w:p w:rsidR="0060317A" w:rsidRPr="005A61F8" w:rsidRDefault="0060317A" w:rsidP="0060317A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>El patrón sexo-genérica: la familia burguesa.</w:t>
            </w:r>
          </w:p>
          <w:p w:rsidR="0060317A" w:rsidRPr="005A61F8" w:rsidRDefault="0060317A" w:rsidP="0060317A">
            <w:pPr>
              <w:rPr>
                <w:rFonts w:ascii="Arial" w:hAnsi="Arial" w:cs="Arial"/>
                <w:sz w:val="24"/>
                <w:szCs w:val="24"/>
              </w:rPr>
            </w:pPr>
          </w:p>
          <w:p w:rsidR="0060317A" w:rsidRPr="005A61F8" w:rsidRDefault="0060317A" w:rsidP="0060317A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 xml:space="preserve">El eurocentrismo y el acceso al conocimiento. </w:t>
            </w:r>
          </w:p>
        </w:tc>
        <w:tc>
          <w:tcPr>
            <w:tcW w:w="2268" w:type="dxa"/>
            <w:gridSpan w:val="2"/>
          </w:tcPr>
          <w:p w:rsidR="0060317A" w:rsidRPr="005A61F8" w:rsidRDefault="0060317A" w:rsidP="0011643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5" w:type="dxa"/>
          </w:tcPr>
          <w:p w:rsidR="0060317A" w:rsidRPr="005A61F8" w:rsidRDefault="00654FCF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 xml:space="preserve">El racismo se presenta cuando se diferencia a los seres humanos por su color de piel, sin olvidar su cultura </w:t>
            </w:r>
          </w:p>
        </w:tc>
      </w:tr>
      <w:tr w:rsidR="0060317A" w:rsidRPr="005A61F8" w:rsidTr="00AD4ED2">
        <w:trPr>
          <w:trHeight w:val="716"/>
        </w:trPr>
        <w:tc>
          <w:tcPr>
            <w:tcW w:w="3539" w:type="dxa"/>
          </w:tcPr>
          <w:p w:rsidR="0060317A" w:rsidRPr="005A61F8" w:rsidRDefault="0060317A" w:rsidP="00654FCF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lastRenderedPageBreak/>
              <w:t xml:space="preserve">El patrón modelo colonial de Aníbal Quijano tiene vigencia en la organización de las sociedades latinoamericanas, y la mexicanas. La estructuración de poder se mantiene un poco más sutil en su manifestación. </w:t>
            </w:r>
          </w:p>
        </w:tc>
        <w:tc>
          <w:tcPr>
            <w:tcW w:w="2268" w:type="dxa"/>
            <w:gridSpan w:val="2"/>
          </w:tcPr>
          <w:p w:rsidR="0060317A" w:rsidRPr="005A61F8" w:rsidRDefault="006031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5" w:type="dxa"/>
          </w:tcPr>
          <w:p w:rsidR="0060317A" w:rsidRPr="005A61F8" w:rsidRDefault="00AD4E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 hubo ascendencia socio-económica de las comunidades afro, más allá de su aporte cultural en música y baile. El mejor ejemplo es Vicente Guerrero. </w:t>
            </w:r>
          </w:p>
        </w:tc>
      </w:tr>
      <w:tr w:rsidR="0060317A" w:rsidRPr="005A61F8" w:rsidTr="00AD4ED2">
        <w:trPr>
          <w:trHeight w:val="716"/>
        </w:trPr>
        <w:tc>
          <w:tcPr>
            <w:tcW w:w="3539" w:type="dxa"/>
          </w:tcPr>
          <w:p w:rsidR="0060317A" w:rsidRPr="005A61F8" w:rsidRDefault="0060317A" w:rsidP="0060317A">
            <w:pPr>
              <w:rPr>
                <w:rFonts w:ascii="Arial" w:hAnsi="Arial" w:cs="Arial"/>
                <w:sz w:val="24"/>
                <w:szCs w:val="24"/>
              </w:rPr>
            </w:pPr>
            <w:r w:rsidRPr="005A61F8">
              <w:rPr>
                <w:rFonts w:ascii="Arial" w:hAnsi="Arial" w:cs="Arial"/>
                <w:sz w:val="24"/>
                <w:szCs w:val="24"/>
              </w:rPr>
              <w:t xml:space="preserve">Movilidad Social. INEGI. Correlación entre tono de piel, posición socioeconómica, trabajo y acceso educativo. </w:t>
            </w:r>
          </w:p>
        </w:tc>
        <w:tc>
          <w:tcPr>
            <w:tcW w:w="2268" w:type="dxa"/>
            <w:gridSpan w:val="2"/>
          </w:tcPr>
          <w:p w:rsidR="0060317A" w:rsidRPr="005A61F8" w:rsidRDefault="0060317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55" w:type="dxa"/>
          </w:tcPr>
          <w:p w:rsidR="0060317A" w:rsidRPr="005A61F8" w:rsidRDefault="00AD4E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 se puede concebir a la sociedad actual sin el aporte de la comunidad afro-descendiente. </w:t>
            </w:r>
          </w:p>
        </w:tc>
      </w:tr>
    </w:tbl>
    <w:p w:rsidR="00940AE2" w:rsidRDefault="00940AE2">
      <w:pPr>
        <w:rPr>
          <w:rFonts w:ascii="Arial" w:hAnsi="Arial" w:cs="Arial"/>
          <w:sz w:val="24"/>
          <w:szCs w:val="24"/>
        </w:rPr>
      </w:pPr>
    </w:p>
    <w:p w:rsidR="00AD4ED2" w:rsidRPr="00AD4ED2" w:rsidRDefault="00AD4ED2" w:rsidP="00AD4ED2">
      <w:pPr>
        <w:rPr>
          <w:rFonts w:ascii="Arial" w:hAnsi="Arial" w:cs="Arial"/>
          <w:i/>
          <w:color w:val="626262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626262"/>
          <w:sz w:val="24"/>
          <w:szCs w:val="24"/>
          <w:shd w:val="clear" w:color="auto" w:fill="FFFFFF"/>
        </w:rPr>
        <w:t xml:space="preserve">2. </w:t>
      </w:r>
      <w:r w:rsidRPr="00AD4ED2">
        <w:rPr>
          <w:rFonts w:ascii="Arial" w:hAnsi="Arial" w:cs="Arial"/>
          <w:i/>
          <w:color w:val="626262"/>
          <w:sz w:val="24"/>
          <w:szCs w:val="24"/>
          <w:shd w:val="clear" w:color="auto" w:fill="FFFFFF"/>
        </w:rPr>
        <w:t>Posteriormente explica brevemente tu postura personal al respecto. Máximo 2 cuartillas.</w:t>
      </w:r>
    </w:p>
    <w:p w:rsidR="00D61EC2" w:rsidRDefault="00D61EC2" w:rsidP="00D61E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 parece que ambas posturas se complementan en algunos aspectos, siendo el más importante la heterogeneidad de la colonia.</w:t>
      </w:r>
      <w:r>
        <w:rPr>
          <w:rFonts w:ascii="Arial" w:hAnsi="Arial" w:cs="Arial"/>
          <w:sz w:val="24"/>
          <w:szCs w:val="24"/>
        </w:rPr>
        <w:t xml:space="preserve"> Su divergencia radica en cómo y dónde colocar a la conceptualización racista para entender a la época colonial. María Elisa trata de ubicarse en el tiempo que estudia, y desde ahí exponer</w:t>
      </w:r>
      <w:r w:rsidR="00577424">
        <w:rPr>
          <w:rFonts w:ascii="Arial" w:hAnsi="Arial" w:cs="Arial"/>
          <w:sz w:val="24"/>
          <w:szCs w:val="24"/>
        </w:rPr>
        <w:t xml:space="preserve"> su teoría</w:t>
      </w:r>
      <w:r w:rsidR="00753A5D">
        <w:rPr>
          <w:rFonts w:ascii="Arial" w:hAnsi="Arial" w:cs="Arial"/>
          <w:sz w:val="24"/>
          <w:szCs w:val="24"/>
        </w:rPr>
        <w:t>,</w:t>
      </w:r>
      <w:r w:rsidR="00577424">
        <w:rPr>
          <w:rFonts w:ascii="Arial" w:hAnsi="Arial" w:cs="Arial"/>
          <w:sz w:val="24"/>
          <w:szCs w:val="24"/>
        </w:rPr>
        <w:t xml:space="preserve"> haciendo una extensa recopilación estadística sobre usos y costumbres de la época. Mientras que Verónica López Nájera propone utilizar al concepto actual de racismo para justificar el giro </w:t>
      </w:r>
      <w:proofErr w:type="spellStart"/>
      <w:r w:rsidR="00577424">
        <w:rPr>
          <w:rFonts w:ascii="Arial" w:hAnsi="Arial" w:cs="Arial"/>
          <w:sz w:val="24"/>
          <w:szCs w:val="24"/>
        </w:rPr>
        <w:t>decolonial</w:t>
      </w:r>
      <w:proofErr w:type="spellEnd"/>
      <w:r w:rsidR="00577424">
        <w:rPr>
          <w:rFonts w:ascii="Arial" w:hAnsi="Arial" w:cs="Arial"/>
          <w:sz w:val="24"/>
          <w:szCs w:val="24"/>
        </w:rPr>
        <w:t xml:space="preserve"> que propugna.  </w:t>
      </w:r>
    </w:p>
    <w:p w:rsidR="00577424" w:rsidRDefault="00577424" w:rsidP="0057742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Quizás la visión de María Elisa Velásquez sea más optimista, pues su enfoque va encaminado hacia </w:t>
      </w:r>
      <w:r>
        <w:rPr>
          <w:rFonts w:ascii="Arial" w:hAnsi="Arial" w:cs="Arial"/>
          <w:sz w:val="24"/>
          <w:szCs w:val="24"/>
        </w:rPr>
        <w:t xml:space="preserve">enaltecer </w:t>
      </w:r>
      <w:r>
        <w:rPr>
          <w:rFonts w:ascii="Arial" w:hAnsi="Arial" w:cs="Arial"/>
          <w:sz w:val="24"/>
          <w:szCs w:val="24"/>
        </w:rPr>
        <w:t>los aportes de la comunidad afro en la cultura mexicana. Escucharla me hizo darme cuenta de lo poco que sabemos de sus contribuciones</w:t>
      </w:r>
      <w:r>
        <w:rPr>
          <w:rFonts w:ascii="Arial" w:hAnsi="Arial" w:cs="Arial"/>
          <w:sz w:val="24"/>
          <w:szCs w:val="24"/>
        </w:rPr>
        <w:t xml:space="preserve"> [de la comunidad afro]</w:t>
      </w:r>
      <w:r>
        <w:rPr>
          <w:rFonts w:ascii="Arial" w:hAnsi="Arial" w:cs="Arial"/>
          <w:sz w:val="24"/>
          <w:szCs w:val="24"/>
        </w:rPr>
        <w:t xml:space="preserve"> y le sacudió el polvo a esa memoria de la escuela primaria en dónde Vicente Guerrero siempre fue mi Héroe Independentista favorito, </w:t>
      </w:r>
      <w:r w:rsidR="00753A5D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−</w:t>
      </w:r>
      <w:r w:rsidRPr="00577424">
        <w:rPr>
          <w:rFonts w:ascii="Arial" w:hAnsi="Arial" w:cs="Arial"/>
          <w:i/>
          <w:sz w:val="24"/>
          <w:szCs w:val="24"/>
        </w:rPr>
        <w:t>es cierto, Vicente era mulato</w:t>
      </w:r>
      <w:r>
        <w:rPr>
          <w:rFonts w:ascii="Arial" w:hAnsi="Arial" w:cs="Arial"/>
          <w:sz w:val="24"/>
          <w:szCs w:val="24"/>
        </w:rPr>
        <w:t>.</w:t>
      </w:r>
      <w:r w:rsidR="00753A5D">
        <w:rPr>
          <w:rFonts w:ascii="Arial" w:hAnsi="Arial" w:cs="Arial"/>
          <w:sz w:val="24"/>
          <w:szCs w:val="24"/>
        </w:rPr>
        <w:t>”</w:t>
      </w:r>
    </w:p>
    <w:p w:rsidR="00D61EC2" w:rsidRDefault="00577424" w:rsidP="00D61E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Las dos ideas </w:t>
      </w:r>
      <w:r w:rsidR="00753A5D">
        <w:rPr>
          <w:rFonts w:ascii="Arial" w:hAnsi="Arial" w:cs="Arial"/>
          <w:sz w:val="24"/>
          <w:szCs w:val="24"/>
        </w:rPr>
        <w:t xml:space="preserve">que más me atrajeron de </w:t>
      </w:r>
      <w:r>
        <w:rPr>
          <w:rFonts w:ascii="Arial" w:hAnsi="Arial" w:cs="Arial"/>
          <w:sz w:val="24"/>
          <w:szCs w:val="24"/>
        </w:rPr>
        <w:t>Verónica, apoyada del pensamiento de Aníbal Quijano son las del descubrimiento de América cómo una configuración de la ‘</w:t>
      </w:r>
      <w:proofErr w:type="spellStart"/>
      <w:r>
        <w:rPr>
          <w:rFonts w:ascii="Arial" w:hAnsi="Arial" w:cs="Arial"/>
          <w:sz w:val="24"/>
          <w:szCs w:val="24"/>
        </w:rPr>
        <w:t>completud</w:t>
      </w:r>
      <w:proofErr w:type="spellEnd"/>
      <w:r>
        <w:rPr>
          <w:rFonts w:ascii="Arial" w:hAnsi="Arial" w:cs="Arial"/>
          <w:sz w:val="24"/>
          <w:szCs w:val="24"/>
        </w:rPr>
        <w:t xml:space="preserve"> del mundo’ y la de las cuatro dimensiones del patrón modelo-colonial </w:t>
      </w:r>
      <w:r w:rsidRPr="00577424">
        <w:rPr>
          <w:rFonts w:ascii="Arial" w:hAnsi="Arial" w:cs="Arial"/>
          <w:i/>
          <w:sz w:val="24"/>
          <w:szCs w:val="24"/>
        </w:rPr>
        <w:t>(ver tabla comparativa</w:t>
      </w:r>
      <w:r w:rsidR="00753A5D">
        <w:rPr>
          <w:rFonts w:ascii="Arial" w:hAnsi="Arial" w:cs="Arial"/>
          <w:i/>
          <w:sz w:val="24"/>
          <w:szCs w:val="24"/>
        </w:rPr>
        <w:t xml:space="preserve"> 4.1</w:t>
      </w:r>
      <w:r w:rsidRPr="00577424">
        <w:rPr>
          <w:rFonts w:ascii="Arial" w:hAnsi="Arial" w:cs="Arial"/>
          <w:i/>
          <w:sz w:val="24"/>
          <w:szCs w:val="24"/>
        </w:rPr>
        <w:t>).</w:t>
      </w:r>
      <w:r>
        <w:rPr>
          <w:rFonts w:ascii="Arial" w:hAnsi="Arial" w:cs="Arial"/>
          <w:sz w:val="24"/>
          <w:szCs w:val="24"/>
        </w:rPr>
        <w:t xml:space="preserve"> Me parece un atajo válido el utilizar conceptualizaciones actuales para explicar </w:t>
      </w:r>
      <w:r w:rsidR="00753A5D">
        <w:rPr>
          <w:rFonts w:ascii="Arial" w:hAnsi="Arial" w:cs="Arial"/>
          <w:sz w:val="24"/>
          <w:szCs w:val="24"/>
        </w:rPr>
        <w:t>la historia. Uno tiene que llegar hasta cierto punto en el conocimiento, individual y colectivo, para atreverse a ver con otros ojos a</w:t>
      </w:r>
      <w:bookmarkStart w:id="0" w:name="_GoBack"/>
      <w:bookmarkEnd w:id="0"/>
      <w:r w:rsidR="00753A5D">
        <w:rPr>
          <w:rFonts w:ascii="Arial" w:hAnsi="Arial" w:cs="Arial"/>
          <w:sz w:val="24"/>
          <w:szCs w:val="24"/>
        </w:rPr>
        <w:t xml:space="preserve">l pasado y darle un giro a lo aprendido, un giro </w:t>
      </w:r>
      <w:proofErr w:type="spellStart"/>
      <w:r w:rsidR="00753A5D">
        <w:rPr>
          <w:rFonts w:ascii="Arial" w:hAnsi="Arial" w:cs="Arial"/>
          <w:sz w:val="24"/>
          <w:szCs w:val="24"/>
        </w:rPr>
        <w:t>decolonial</w:t>
      </w:r>
      <w:proofErr w:type="spellEnd"/>
      <w:r w:rsidR="00753A5D">
        <w:rPr>
          <w:rFonts w:ascii="Arial" w:hAnsi="Arial" w:cs="Arial"/>
          <w:sz w:val="24"/>
          <w:szCs w:val="24"/>
        </w:rPr>
        <w:t xml:space="preserve">. </w:t>
      </w:r>
    </w:p>
    <w:p w:rsidR="00D61EC2" w:rsidRPr="005A61F8" w:rsidRDefault="00753A5D" w:rsidP="00D61EC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Siento que escoger una u otra postura sería caer en el juego que tanto tiempo nos hace perder al pensamiento surgido de las minorías. Esa idea de ponerle un nombre a las cosas antes de empezarlas es lo que ha generado tantas rupturas en el movimiento feminista o en el LGBT+. No me exculpo de ello, más bien me inquieta, porque mientras estamos nosotros acá viendo cual etiqueta nos acomoda más, el mundo sigue avanzando y con él, el paso firme de las ultra derechas hegemónicas. </w:t>
      </w:r>
    </w:p>
    <w:sectPr w:rsidR="00D61EC2" w:rsidRPr="005A61F8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D1F" w:rsidRDefault="00AC7D1F" w:rsidP="00AD4ED2">
      <w:pPr>
        <w:spacing w:after="0" w:line="240" w:lineRule="auto"/>
      </w:pPr>
      <w:r>
        <w:separator/>
      </w:r>
    </w:p>
  </w:endnote>
  <w:endnote w:type="continuationSeparator" w:id="0">
    <w:p w:rsidR="00AC7D1F" w:rsidRDefault="00AC7D1F" w:rsidP="00AD4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A6" w:rsidRPr="00AD4ED2" w:rsidRDefault="00BA5BA6" w:rsidP="00BA5BA6">
    <w:pPr>
      <w:pStyle w:val="Encabezado"/>
      <w:rPr>
        <w:rFonts w:ascii="Arial" w:hAnsi="Arial" w:cs="Arial"/>
        <w:i/>
        <w:color w:val="3B3838" w:themeColor="background2" w:themeShade="40"/>
        <w:sz w:val="24"/>
        <w:szCs w:val="24"/>
      </w:rPr>
    </w:pPr>
    <w:r w:rsidRPr="00AD4ED2">
      <w:rPr>
        <w:rFonts w:ascii="Arial" w:hAnsi="Arial" w:cs="Arial"/>
        <w:i/>
        <w:color w:val="3B3838" w:themeColor="background2" w:themeShade="40"/>
        <w:sz w:val="24"/>
        <w:szCs w:val="24"/>
      </w:rPr>
      <w:t>Leticia Machado Ovalle. 2.2. ¿Racismo en la Colonia?</w:t>
    </w:r>
  </w:p>
  <w:p w:rsidR="00BA5BA6" w:rsidRDefault="00BA5BA6">
    <w:pPr>
      <w:pStyle w:val="Piedepgina"/>
    </w:pPr>
  </w:p>
  <w:p w:rsidR="00BA5BA6" w:rsidRDefault="00BA5BA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D1F" w:rsidRDefault="00AC7D1F" w:rsidP="00AD4ED2">
      <w:pPr>
        <w:spacing w:after="0" w:line="240" w:lineRule="auto"/>
      </w:pPr>
      <w:r>
        <w:separator/>
      </w:r>
    </w:p>
  </w:footnote>
  <w:footnote w:type="continuationSeparator" w:id="0">
    <w:p w:rsidR="00AC7D1F" w:rsidRDefault="00AC7D1F" w:rsidP="00AD4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D2" w:rsidRPr="00AD4ED2" w:rsidRDefault="00AD4ED2">
    <w:pPr>
      <w:pStyle w:val="Encabezado"/>
      <w:rPr>
        <w:rFonts w:ascii="Arial" w:hAnsi="Arial" w:cs="Arial"/>
        <w:i/>
        <w:color w:val="3B3838" w:themeColor="background2" w:themeShade="40"/>
        <w:sz w:val="24"/>
        <w:szCs w:val="24"/>
      </w:rPr>
    </w:pPr>
    <w:r w:rsidRPr="00AD4ED2">
      <w:rPr>
        <w:rFonts w:ascii="Arial" w:hAnsi="Arial" w:cs="Arial"/>
        <w:i/>
        <w:color w:val="3B3838" w:themeColor="background2" w:themeShade="40"/>
        <w:sz w:val="24"/>
        <w:szCs w:val="24"/>
      </w:rPr>
      <w:t>Leticia Machado Ovalle. 2.2. ¿Racismo en la Colonia?</w:t>
    </w:r>
  </w:p>
  <w:p w:rsidR="00AD4ED2" w:rsidRDefault="00AD4ED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D1"/>
    <w:rsid w:val="0004164D"/>
    <w:rsid w:val="00056359"/>
    <w:rsid w:val="0011643F"/>
    <w:rsid w:val="003C1E4B"/>
    <w:rsid w:val="004E6C84"/>
    <w:rsid w:val="00577424"/>
    <w:rsid w:val="005A61F8"/>
    <w:rsid w:val="0060317A"/>
    <w:rsid w:val="00654FCF"/>
    <w:rsid w:val="00753A5D"/>
    <w:rsid w:val="007915EE"/>
    <w:rsid w:val="00940AE2"/>
    <w:rsid w:val="00AA7C99"/>
    <w:rsid w:val="00AC7D1F"/>
    <w:rsid w:val="00AD4ED2"/>
    <w:rsid w:val="00BA15C3"/>
    <w:rsid w:val="00BA5BA6"/>
    <w:rsid w:val="00D61EC2"/>
    <w:rsid w:val="00DE0826"/>
    <w:rsid w:val="00F73388"/>
    <w:rsid w:val="00FD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648A3C-67EC-42ED-8813-2A776F0EC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40A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D4ED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D4ED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D4ED2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AD4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2"/>
  </w:style>
  <w:style w:type="paragraph" w:styleId="Piedepgina">
    <w:name w:val="footer"/>
    <w:basedOn w:val="Normal"/>
    <w:link w:val="PiedepginaCar"/>
    <w:uiPriority w:val="99"/>
    <w:unhideWhenUsed/>
    <w:rsid w:val="00AD4E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44770-125C-44E7-8E5E-D8BD7B46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2</Pages>
  <Words>655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MachadoOvalle</dc:creator>
  <cp:keywords/>
  <dc:description/>
  <cp:lastModifiedBy>Leticia MachadoOvalle</cp:lastModifiedBy>
  <cp:revision>2</cp:revision>
  <dcterms:created xsi:type="dcterms:W3CDTF">2020-03-08T02:30:00Z</dcterms:created>
  <dcterms:modified xsi:type="dcterms:W3CDTF">2020-03-10T03:11:00Z</dcterms:modified>
</cp:coreProperties>
</file>