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245F" w:rsidRDefault="00D4245F" w:rsidP="001A0824">
      <w:pPr>
        <w:spacing w:line="240" w:lineRule="auto"/>
        <w:jc w:val="center"/>
        <w:rPr>
          <w:rFonts w:ascii="Book Antiqua" w:hAnsi="Book Antiqua"/>
          <w:b/>
          <w:bCs/>
          <w:sz w:val="24"/>
          <w:szCs w:val="24"/>
        </w:rPr>
      </w:pPr>
      <w:r>
        <w:rPr>
          <w:rFonts w:ascii="Book Antiqua" w:hAnsi="Book Antiqua"/>
          <w:b/>
          <w:bCs/>
          <w:sz w:val="24"/>
          <w:szCs w:val="24"/>
        </w:rPr>
        <w:t>Diplomado: “Racismo y xenofobia vistos desde México”</w:t>
      </w:r>
    </w:p>
    <w:p w:rsidR="00D4245F" w:rsidRDefault="00D4245F" w:rsidP="001A0824">
      <w:pPr>
        <w:spacing w:line="240" w:lineRule="auto"/>
        <w:jc w:val="center"/>
        <w:rPr>
          <w:rFonts w:ascii="Book Antiqua" w:hAnsi="Book Antiqua"/>
          <w:b/>
          <w:bCs/>
          <w:sz w:val="24"/>
          <w:szCs w:val="24"/>
        </w:rPr>
      </w:pPr>
      <w:r>
        <w:rPr>
          <w:rFonts w:ascii="Book Antiqua" w:hAnsi="Book Antiqua"/>
          <w:b/>
          <w:bCs/>
          <w:sz w:val="24"/>
          <w:szCs w:val="24"/>
        </w:rPr>
        <w:t>Héctor Eduardo Luna López</w:t>
      </w:r>
    </w:p>
    <w:p w:rsidR="0025586A" w:rsidRPr="0025586A" w:rsidRDefault="0025586A" w:rsidP="001A0824">
      <w:pPr>
        <w:spacing w:line="240" w:lineRule="auto"/>
        <w:jc w:val="center"/>
        <w:rPr>
          <w:rFonts w:ascii="Book Antiqua" w:hAnsi="Book Antiqua"/>
          <w:b/>
          <w:bCs/>
          <w:sz w:val="24"/>
          <w:szCs w:val="24"/>
        </w:rPr>
      </w:pPr>
      <w:r w:rsidRPr="0025586A">
        <w:rPr>
          <w:rFonts w:ascii="Book Antiqua" w:hAnsi="Book Antiqua"/>
          <w:b/>
          <w:bCs/>
          <w:sz w:val="24"/>
          <w:szCs w:val="24"/>
        </w:rPr>
        <w:t>Tarea 1. ¿Ha cambiado tu idea de raza?</w:t>
      </w:r>
    </w:p>
    <w:p w:rsidR="0025586A" w:rsidRPr="0025586A" w:rsidRDefault="0025586A" w:rsidP="00D4245F">
      <w:pPr>
        <w:jc w:val="both"/>
        <w:rPr>
          <w:rFonts w:ascii="Book Antiqua" w:hAnsi="Book Antiqua"/>
          <w:sz w:val="24"/>
          <w:szCs w:val="24"/>
        </w:rPr>
      </w:pPr>
      <w:r w:rsidRPr="0025586A">
        <w:rPr>
          <w:rFonts w:ascii="Book Antiqua" w:hAnsi="Book Antiqua"/>
          <w:sz w:val="24"/>
          <w:szCs w:val="24"/>
        </w:rPr>
        <w:t xml:space="preserve">Hasta antes de entrar en contacto con las lecturas y los videos de especialistas, tenía una noción cultural de la noción de raza. </w:t>
      </w:r>
      <w:r w:rsidR="001A0824">
        <w:rPr>
          <w:rFonts w:ascii="Book Antiqua" w:hAnsi="Book Antiqua"/>
          <w:sz w:val="24"/>
          <w:szCs w:val="24"/>
        </w:rPr>
        <w:t>C</w:t>
      </w:r>
      <w:r w:rsidRPr="0025586A">
        <w:rPr>
          <w:rFonts w:ascii="Book Antiqua" w:hAnsi="Book Antiqua"/>
          <w:sz w:val="24"/>
          <w:szCs w:val="24"/>
        </w:rPr>
        <w:t xml:space="preserve">onsideraba que efectivamente era una clasificación artificial, construida social, histórica e ideológicamente, y que servía para definir a las personas por cuestiones fenotípicas, con el agregado de implementar una división jerárquica en donde ciertas “razas” eran vistas </w:t>
      </w:r>
      <w:r w:rsidR="00226528">
        <w:rPr>
          <w:rFonts w:ascii="Book Antiqua" w:hAnsi="Book Antiqua"/>
          <w:sz w:val="24"/>
          <w:szCs w:val="24"/>
        </w:rPr>
        <w:t xml:space="preserve">como </w:t>
      </w:r>
      <w:r w:rsidRPr="0025586A">
        <w:rPr>
          <w:rFonts w:ascii="Book Antiqua" w:hAnsi="Book Antiqua"/>
          <w:sz w:val="24"/>
          <w:szCs w:val="24"/>
        </w:rPr>
        <w:t>inferior</w:t>
      </w:r>
      <w:r w:rsidR="00226528">
        <w:rPr>
          <w:rFonts w:ascii="Book Antiqua" w:hAnsi="Book Antiqua"/>
          <w:sz w:val="24"/>
          <w:szCs w:val="24"/>
        </w:rPr>
        <w:t>es</w:t>
      </w:r>
      <w:r w:rsidRPr="0025586A">
        <w:rPr>
          <w:rFonts w:ascii="Book Antiqua" w:hAnsi="Book Antiqua"/>
          <w:sz w:val="24"/>
          <w:szCs w:val="24"/>
        </w:rPr>
        <w:t xml:space="preserve"> a otra.</w:t>
      </w:r>
      <w:r>
        <w:rPr>
          <w:rFonts w:ascii="Book Antiqua" w:hAnsi="Book Antiqua"/>
          <w:sz w:val="24"/>
          <w:szCs w:val="24"/>
        </w:rPr>
        <w:t xml:space="preserve"> Asimismo, sabía que</w:t>
      </w:r>
      <w:r w:rsidR="00226528">
        <w:rPr>
          <w:rFonts w:ascii="Book Antiqua" w:hAnsi="Book Antiqua"/>
          <w:sz w:val="24"/>
          <w:szCs w:val="24"/>
        </w:rPr>
        <w:t xml:space="preserve"> tal noción </w:t>
      </w:r>
      <w:r>
        <w:rPr>
          <w:rFonts w:ascii="Book Antiqua" w:hAnsi="Book Antiqua"/>
          <w:sz w:val="24"/>
          <w:szCs w:val="24"/>
        </w:rPr>
        <w:t>partía de una base “cientificista” que supon</w:t>
      </w:r>
      <w:r w:rsidR="00226528">
        <w:rPr>
          <w:rFonts w:ascii="Book Antiqua" w:hAnsi="Book Antiqua"/>
          <w:sz w:val="24"/>
          <w:szCs w:val="24"/>
        </w:rPr>
        <w:t>ía</w:t>
      </w:r>
      <w:r>
        <w:rPr>
          <w:rFonts w:ascii="Book Antiqua" w:hAnsi="Book Antiqua"/>
          <w:sz w:val="24"/>
          <w:szCs w:val="24"/>
        </w:rPr>
        <w:t xml:space="preserve"> </w:t>
      </w:r>
      <w:r w:rsidR="00226528">
        <w:rPr>
          <w:rFonts w:ascii="Book Antiqua" w:hAnsi="Book Antiqua"/>
          <w:sz w:val="24"/>
          <w:szCs w:val="24"/>
        </w:rPr>
        <w:t xml:space="preserve">la existencia de </w:t>
      </w:r>
      <w:r>
        <w:rPr>
          <w:rFonts w:ascii="Book Antiqua" w:hAnsi="Book Antiqua"/>
          <w:sz w:val="24"/>
          <w:szCs w:val="24"/>
        </w:rPr>
        <w:t>diferencias “biol</w:t>
      </w:r>
      <w:r w:rsidR="00D4245F">
        <w:rPr>
          <w:rFonts w:ascii="Book Antiqua" w:hAnsi="Book Antiqua"/>
          <w:sz w:val="24"/>
          <w:szCs w:val="24"/>
        </w:rPr>
        <w:t>ó</w:t>
      </w:r>
      <w:r>
        <w:rPr>
          <w:rFonts w:ascii="Book Antiqua" w:hAnsi="Book Antiqua"/>
          <w:sz w:val="24"/>
          <w:szCs w:val="24"/>
        </w:rPr>
        <w:t>gicas”</w:t>
      </w:r>
      <w:r w:rsidR="00226528">
        <w:rPr>
          <w:rFonts w:ascii="Book Antiqua" w:hAnsi="Book Antiqua"/>
          <w:sz w:val="24"/>
          <w:szCs w:val="24"/>
        </w:rPr>
        <w:t xml:space="preserve"> </w:t>
      </w:r>
      <w:r w:rsidR="00D4245F">
        <w:rPr>
          <w:rFonts w:ascii="Book Antiqua" w:hAnsi="Book Antiqua"/>
          <w:sz w:val="24"/>
          <w:szCs w:val="24"/>
        </w:rPr>
        <w:t>entre los seres humanos</w:t>
      </w:r>
      <w:r w:rsidR="002637F5">
        <w:rPr>
          <w:rFonts w:ascii="Book Antiqua" w:hAnsi="Book Antiqua"/>
          <w:sz w:val="24"/>
          <w:szCs w:val="24"/>
        </w:rPr>
        <w:t>.</w:t>
      </w:r>
    </w:p>
    <w:p w:rsidR="0025586A" w:rsidRDefault="0025586A" w:rsidP="00D4245F">
      <w:pPr>
        <w:jc w:val="both"/>
        <w:rPr>
          <w:rFonts w:ascii="Book Antiqua" w:hAnsi="Book Antiqua"/>
          <w:sz w:val="24"/>
          <w:szCs w:val="24"/>
        </w:rPr>
      </w:pPr>
      <w:r w:rsidRPr="0025586A">
        <w:rPr>
          <w:rFonts w:ascii="Book Antiqua" w:hAnsi="Book Antiqua"/>
          <w:sz w:val="24"/>
          <w:szCs w:val="24"/>
        </w:rPr>
        <w:t>Sin embargo, debo decir que la parte biológica me era casi por completo desconocida. No conocía</w:t>
      </w:r>
      <w:r>
        <w:rPr>
          <w:rFonts w:ascii="Book Antiqua" w:hAnsi="Book Antiqua"/>
          <w:sz w:val="24"/>
          <w:szCs w:val="24"/>
        </w:rPr>
        <w:t xml:space="preserve"> a detalle el debate científico en torno a la raza. Y aunque sabía que era importante para la construcción misma de la noción de “raza” y los </w:t>
      </w:r>
      <w:r w:rsidR="00226528">
        <w:rPr>
          <w:rFonts w:ascii="Book Antiqua" w:hAnsi="Book Antiqua"/>
          <w:sz w:val="24"/>
          <w:szCs w:val="24"/>
        </w:rPr>
        <w:t>problemas</w:t>
      </w:r>
      <w:r>
        <w:rPr>
          <w:rFonts w:ascii="Book Antiqua" w:hAnsi="Book Antiqua"/>
          <w:sz w:val="24"/>
          <w:szCs w:val="24"/>
        </w:rPr>
        <w:t xml:space="preserve"> que suscita, no había tenido oportunidad de leer al respecto.</w:t>
      </w:r>
    </w:p>
    <w:p w:rsidR="00D4245F" w:rsidRDefault="00226528" w:rsidP="00D4245F">
      <w:pPr>
        <w:jc w:val="both"/>
        <w:rPr>
          <w:rFonts w:ascii="Book Antiqua" w:hAnsi="Book Antiqua"/>
          <w:sz w:val="24"/>
          <w:szCs w:val="24"/>
        </w:rPr>
      </w:pPr>
      <w:r>
        <w:rPr>
          <w:rFonts w:ascii="Book Antiqua" w:hAnsi="Book Antiqua"/>
          <w:sz w:val="24"/>
          <w:szCs w:val="24"/>
        </w:rPr>
        <w:t>Por ello</w:t>
      </w:r>
      <w:r w:rsidR="00D4245F">
        <w:rPr>
          <w:rFonts w:ascii="Book Antiqua" w:hAnsi="Book Antiqua"/>
          <w:sz w:val="24"/>
          <w:szCs w:val="24"/>
        </w:rPr>
        <w:t xml:space="preserve">, me pareció muy relevante la explicación de </w:t>
      </w:r>
      <w:proofErr w:type="spellStart"/>
      <w:r w:rsidR="00D4245F">
        <w:rPr>
          <w:rFonts w:ascii="Book Antiqua" w:hAnsi="Book Antiqua"/>
          <w:sz w:val="24"/>
          <w:szCs w:val="24"/>
        </w:rPr>
        <w:t>Vivette</w:t>
      </w:r>
      <w:proofErr w:type="spellEnd"/>
      <w:r w:rsidR="00D4245F">
        <w:rPr>
          <w:rFonts w:ascii="Book Antiqua" w:hAnsi="Book Antiqua"/>
          <w:sz w:val="24"/>
          <w:szCs w:val="24"/>
        </w:rPr>
        <w:t xml:space="preserve"> García,</w:t>
      </w:r>
      <w:r w:rsidR="001A0824">
        <w:rPr>
          <w:rStyle w:val="Refdenotaalpie"/>
          <w:rFonts w:ascii="Book Antiqua" w:hAnsi="Book Antiqua"/>
          <w:sz w:val="24"/>
          <w:szCs w:val="24"/>
        </w:rPr>
        <w:footnoteReference w:id="1"/>
      </w:r>
      <w:r w:rsidR="00D4245F">
        <w:rPr>
          <w:rFonts w:ascii="Book Antiqua" w:hAnsi="Book Antiqua"/>
          <w:sz w:val="24"/>
          <w:szCs w:val="24"/>
        </w:rPr>
        <w:t xml:space="preserve"> en donde nos dice que “raza” no es una categoría taxonómica clasificatoria de la biología, pues no tiene sentido implementarla en un grupo que puede ser definido en su conjunto por la categoría de “especie”</w:t>
      </w:r>
      <w:r>
        <w:rPr>
          <w:rFonts w:ascii="Book Antiqua" w:hAnsi="Book Antiqua"/>
          <w:sz w:val="24"/>
          <w:szCs w:val="24"/>
        </w:rPr>
        <w:t>, y donde no existen elementos para hablar de “subespecies”</w:t>
      </w:r>
      <w:r w:rsidR="00D4245F">
        <w:rPr>
          <w:rFonts w:ascii="Book Antiqua" w:hAnsi="Book Antiqua"/>
          <w:sz w:val="24"/>
          <w:szCs w:val="24"/>
        </w:rPr>
        <w:t xml:space="preserve"> </w:t>
      </w:r>
    </w:p>
    <w:p w:rsidR="00D4245F" w:rsidRDefault="00D4245F" w:rsidP="00D4245F">
      <w:pPr>
        <w:jc w:val="both"/>
        <w:rPr>
          <w:rFonts w:ascii="Book Antiqua" w:hAnsi="Book Antiqua"/>
          <w:sz w:val="24"/>
          <w:szCs w:val="24"/>
        </w:rPr>
      </w:pPr>
      <w:r>
        <w:rPr>
          <w:rFonts w:ascii="Book Antiqua" w:hAnsi="Book Antiqua"/>
          <w:sz w:val="24"/>
          <w:szCs w:val="24"/>
        </w:rPr>
        <w:t>De igual modo, la explicación de Francisco Vergara,</w:t>
      </w:r>
      <w:r w:rsidR="001A0824">
        <w:rPr>
          <w:rStyle w:val="Refdenotaalpie"/>
          <w:rFonts w:ascii="Book Antiqua" w:hAnsi="Book Antiqua"/>
          <w:sz w:val="24"/>
          <w:szCs w:val="24"/>
        </w:rPr>
        <w:footnoteReference w:id="2"/>
      </w:r>
      <w:r>
        <w:rPr>
          <w:rFonts w:ascii="Book Antiqua" w:hAnsi="Book Antiqua"/>
          <w:sz w:val="24"/>
          <w:szCs w:val="24"/>
        </w:rPr>
        <w:t xml:space="preserve"> así como el texto de López Beltrán</w:t>
      </w:r>
      <w:r w:rsidR="001A0824">
        <w:rPr>
          <w:rFonts w:ascii="Book Antiqua" w:hAnsi="Book Antiqua"/>
          <w:sz w:val="24"/>
          <w:szCs w:val="24"/>
        </w:rPr>
        <w:t>,</w:t>
      </w:r>
      <w:r w:rsidR="001A0824">
        <w:rPr>
          <w:rStyle w:val="Refdenotaalpie"/>
          <w:rFonts w:ascii="Book Antiqua" w:hAnsi="Book Antiqua"/>
          <w:sz w:val="24"/>
          <w:szCs w:val="24"/>
        </w:rPr>
        <w:footnoteReference w:id="3"/>
      </w:r>
      <w:r>
        <w:rPr>
          <w:rFonts w:ascii="Book Antiqua" w:hAnsi="Book Antiqua"/>
          <w:sz w:val="24"/>
          <w:szCs w:val="24"/>
        </w:rPr>
        <w:t xml:space="preserve"> vinieron a ampliar mi conocimiento sobre la manera en que la noción de “raza” puede ser sustituida por la de “población”</w:t>
      </w:r>
      <w:r w:rsidR="00226528">
        <w:rPr>
          <w:rFonts w:ascii="Book Antiqua" w:hAnsi="Book Antiqua"/>
          <w:sz w:val="24"/>
          <w:szCs w:val="24"/>
        </w:rPr>
        <w:t xml:space="preserve"> en ciertos contextos científicos</w:t>
      </w:r>
      <w:r>
        <w:rPr>
          <w:rFonts w:ascii="Book Antiqua" w:hAnsi="Book Antiqua"/>
          <w:sz w:val="24"/>
          <w:szCs w:val="24"/>
        </w:rPr>
        <w:t xml:space="preserve">, lo cual hace que </w:t>
      </w:r>
      <w:r w:rsidR="00226528">
        <w:rPr>
          <w:rFonts w:ascii="Book Antiqua" w:hAnsi="Book Antiqua"/>
          <w:sz w:val="24"/>
          <w:szCs w:val="24"/>
        </w:rPr>
        <w:t xml:space="preserve">el término </w:t>
      </w:r>
      <w:r>
        <w:rPr>
          <w:rFonts w:ascii="Book Antiqua" w:hAnsi="Book Antiqua"/>
          <w:sz w:val="24"/>
          <w:szCs w:val="24"/>
        </w:rPr>
        <w:t xml:space="preserve">pase de modo velado, pero con el mismo componente conceptual que delimita </w:t>
      </w:r>
      <w:r w:rsidR="00226528">
        <w:rPr>
          <w:rFonts w:ascii="Book Antiqua" w:hAnsi="Book Antiqua"/>
          <w:sz w:val="24"/>
          <w:szCs w:val="24"/>
        </w:rPr>
        <w:t xml:space="preserve">a </w:t>
      </w:r>
      <w:r>
        <w:rPr>
          <w:rFonts w:ascii="Book Antiqua" w:hAnsi="Book Antiqua"/>
          <w:sz w:val="24"/>
          <w:szCs w:val="24"/>
        </w:rPr>
        <w:t>distintos tipos de seres humanos basados en supuesta evidencia genética</w:t>
      </w:r>
      <w:r w:rsidR="00226528">
        <w:rPr>
          <w:rFonts w:ascii="Book Antiqua" w:hAnsi="Book Antiqua"/>
          <w:sz w:val="24"/>
          <w:szCs w:val="24"/>
        </w:rPr>
        <w:t xml:space="preserve"> y su distribución geográfica.</w:t>
      </w:r>
    </w:p>
    <w:p w:rsidR="002637F5" w:rsidRDefault="002637F5" w:rsidP="00D4245F">
      <w:pPr>
        <w:jc w:val="both"/>
        <w:rPr>
          <w:rFonts w:ascii="Book Antiqua" w:hAnsi="Book Antiqua"/>
          <w:sz w:val="24"/>
          <w:szCs w:val="24"/>
        </w:rPr>
      </w:pPr>
      <w:r>
        <w:rPr>
          <w:rFonts w:ascii="Book Antiqua" w:hAnsi="Book Antiqua"/>
          <w:sz w:val="24"/>
          <w:szCs w:val="24"/>
        </w:rPr>
        <w:t xml:space="preserve">La propuesta de hablar de “variación biocultural humana” me parece un gran acierto pues explica el fenómeno de las diferencias fenotípicas que hay entre los seres humanos sin recurrir a rasgos esencialistas ni genéticos determinados biológicamente, “por naturaleza”, </w:t>
      </w:r>
      <w:r w:rsidR="00226528">
        <w:rPr>
          <w:rFonts w:ascii="Book Antiqua" w:hAnsi="Book Antiqua"/>
          <w:sz w:val="24"/>
          <w:szCs w:val="24"/>
        </w:rPr>
        <w:t>como lo hace</w:t>
      </w:r>
      <w:r>
        <w:rPr>
          <w:rFonts w:ascii="Book Antiqua" w:hAnsi="Book Antiqua"/>
          <w:sz w:val="24"/>
          <w:szCs w:val="24"/>
        </w:rPr>
        <w:t xml:space="preserve"> la clasificación racial. Sino que logra explicar por qué somos fenotípicamente distintos en diferentes regiones del mundo y la manera en que lo biológico efectivamente se “acopla” o se modifica según las condiciones del medio ambiente. Lo que en la lectura de </w:t>
      </w:r>
      <w:proofErr w:type="spellStart"/>
      <w:r>
        <w:rPr>
          <w:rFonts w:ascii="Book Antiqua" w:hAnsi="Book Antiqua"/>
          <w:sz w:val="24"/>
          <w:szCs w:val="24"/>
        </w:rPr>
        <w:t>Nahayeilli</w:t>
      </w:r>
      <w:proofErr w:type="spellEnd"/>
      <w:r>
        <w:rPr>
          <w:rFonts w:ascii="Book Antiqua" w:hAnsi="Book Antiqua"/>
          <w:sz w:val="24"/>
          <w:szCs w:val="24"/>
        </w:rPr>
        <w:t xml:space="preserve"> Juárez y Francisco Vergara queda explicado como: “plasticidad fenotípica”. Asimismo, me parece que esta propuesta incorpora también la manera en que lo cultural es un </w:t>
      </w:r>
      <w:r>
        <w:rPr>
          <w:rFonts w:ascii="Book Antiqua" w:hAnsi="Book Antiqua"/>
          <w:sz w:val="24"/>
          <w:szCs w:val="24"/>
        </w:rPr>
        <w:lastRenderedPageBreak/>
        <w:t>componente fundamental de las diferencias observables entre seres humanos y cómo ello se integra y se conjunta con lo biológico</w:t>
      </w:r>
      <w:r w:rsidR="00226528">
        <w:rPr>
          <w:rFonts w:ascii="Book Antiqua" w:hAnsi="Book Antiqua"/>
          <w:sz w:val="24"/>
          <w:szCs w:val="24"/>
        </w:rPr>
        <w:t>, pero de modo histórico-artificial.</w:t>
      </w:r>
    </w:p>
    <w:p w:rsidR="002637F5" w:rsidRDefault="002637F5" w:rsidP="00D4245F">
      <w:pPr>
        <w:jc w:val="both"/>
        <w:rPr>
          <w:rFonts w:ascii="Book Antiqua" w:hAnsi="Book Antiqua"/>
          <w:sz w:val="24"/>
          <w:szCs w:val="24"/>
        </w:rPr>
      </w:pPr>
      <w:r>
        <w:rPr>
          <w:rFonts w:ascii="Book Antiqua" w:hAnsi="Book Antiqua"/>
          <w:sz w:val="24"/>
          <w:szCs w:val="24"/>
        </w:rPr>
        <w:t>En torno al componente ideológico que conlleva la noción de raza, debo decir que estaba familiarizado con él, pues desde la filosofía y, particularmente, desde la filosofía mexicana que es el área a la que me dedico, hemos estudiado mucho el fenómeno de la conquista, la dominación colonial, el “mestizaje</w:t>
      </w:r>
      <w:r w:rsidR="00226528">
        <w:rPr>
          <w:rFonts w:ascii="Book Antiqua" w:hAnsi="Book Antiqua"/>
          <w:sz w:val="24"/>
          <w:szCs w:val="24"/>
        </w:rPr>
        <w:t>” y las relaciones de poder que se desprenden de la modernidad, por lo cual las propuestas desde la inflexión decolonial me eran conocidas. No obstante, disfruté y me sirvió el texto de Eduardo Restrepo y Axel Rojas, pues me ayudó a precisar algunos conceptos y referencias bibliográficas.</w:t>
      </w:r>
    </w:p>
    <w:p w:rsidR="0025586A" w:rsidRPr="0025586A" w:rsidRDefault="0025586A" w:rsidP="00D4245F">
      <w:pPr>
        <w:jc w:val="both"/>
        <w:rPr>
          <w:rFonts w:ascii="Book Antiqua" w:hAnsi="Book Antiqua"/>
          <w:sz w:val="24"/>
          <w:szCs w:val="24"/>
        </w:rPr>
      </w:pPr>
      <w:bookmarkStart w:id="0" w:name="_GoBack"/>
      <w:bookmarkEnd w:id="0"/>
    </w:p>
    <w:sectPr w:rsidR="0025586A" w:rsidRPr="0025586A">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3B01" w:rsidRDefault="00D93B01" w:rsidP="001A0824">
      <w:pPr>
        <w:spacing w:after="0" w:line="240" w:lineRule="auto"/>
      </w:pPr>
      <w:r>
        <w:separator/>
      </w:r>
    </w:p>
  </w:endnote>
  <w:endnote w:type="continuationSeparator" w:id="0">
    <w:p w:rsidR="00D93B01" w:rsidRDefault="00D93B01" w:rsidP="001A0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1231268"/>
      <w:docPartObj>
        <w:docPartGallery w:val="Page Numbers (Bottom of Page)"/>
        <w:docPartUnique/>
      </w:docPartObj>
    </w:sdtPr>
    <w:sdtContent>
      <w:p w:rsidR="001A0824" w:rsidRDefault="001A0824">
        <w:pPr>
          <w:pStyle w:val="Piedepgina"/>
          <w:jc w:val="right"/>
        </w:pPr>
        <w:r>
          <w:fldChar w:fldCharType="begin"/>
        </w:r>
        <w:r>
          <w:instrText>PAGE   \* MERGEFORMAT</w:instrText>
        </w:r>
        <w:r>
          <w:fldChar w:fldCharType="separate"/>
        </w:r>
        <w:r>
          <w:rPr>
            <w:lang w:val="es-ES"/>
          </w:rPr>
          <w:t>2</w:t>
        </w:r>
        <w:r>
          <w:fldChar w:fldCharType="end"/>
        </w:r>
      </w:p>
    </w:sdtContent>
  </w:sdt>
  <w:p w:rsidR="001A0824" w:rsidRDefault="001A082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3B01" w:rsidRDefault="00D93B01" w:rsidP="001A0824">
      <w:pPr>
        <w:spacing w:after="0" w:line="240" w:lineRule="auto"/>
      </w:pPr>
      <w:r>
        <w:separator/>
      </w:r>
    </w:p>
  </w:footnote>
  <w:footnote w:type="continuationSeparator" w:id="0">
    <w:p w:rsidR="00D93B01" w:rsidRDefault="00D93B01" w:rsidP="001A0824">
      <w:pPr>
        <w:spacing w:after="0" w:line="240" w:lineRule="auto"/>
      </w:pPr>
      <w:r>
        <w:continuationSeparator/>
      </w:r>
    </w:p>
  </w:footnote>
  <w:footnote w:id="1">
    <w:p w:rsidR="001A0824" w:rsidRPr="001A0824" w:rsidRDefault="001A0824">
      <w:pPr>
        <w:pStyle w:val="Textonotapie"/>
        <w:rPr>
          <w:rFonts w:ascii="Book Antiqua" w:hAnsi="Book Antiqua"/>
        </w:rPr>
      </w:pPr>
      <w:r w:rsidRPr="001A0824">
        <w:rPr>
          <w:rStyle w:val="Refdenotaalpie"/>
          <w:rFonts w:ascii="Book Antiqua" w:hAnsi="Book Antiqua"/>
        </w:rPr>
        <w:footnoteRef/>
      </w:r>
      <w:r w:rsidRPr="001A0824">
        <w:rPr>
          <w:rFonts w:ascii="Book Antiqua" w:hAnsi="Book Antiqua"/>
        </w:rPr>
        <w:t xml:space="preserve"> En video de especialistas. </w:t>
      </w:r>
      <w:hyperlink r:id="rId1" w:history="1">
        <w:r w:rsidRPr="001A0824">
          <w:rPr>
            <w:rStyle w:val="Hipervnculo"/>
            <w:rFonts w:ascii="Book Antiqua" w:hAnsi="Book Antiqua"/>
          </w:rPr>
          <w:t>https://youtu.be/q3MZJcEomEA</w:t>
        </w:r>
      </w:hyperlink>
      <w:r w:rsidRPr="001A0824">
        <w:rPr>
          <w:rFonts w:ascii="Book Antiqua" w:hAnsi="Book Antiqua"/>
        </w:rPr>
        <w:t xml:space="preserve"> </w:t>
      </w:r>
    </w:p>
  </w:footnote>
  <w:footnote w:id="2">
    <w:p w:rsidR="001A0824" w:rsidRPr="001A0824" w:rsidRDefault="001A0824">
      <w:pPr>
        <w:pStyle w:val="Textonotapie"/>
        <w:rPr>
          <w:rFonts w:ascii="Book Antiqua" w:hAnsi="Book Antiqua"/>
        </w:rPr>
      </w:pPr>
      <w:r w:rsidRPr="001A0824">
        <w:rPr>
          <w:rStyle w:val="Refdenotaalpie"/>
          <w:rFonts w:ascii="Book Antiqua" w:hAnsi="Book Antiqua"/>
        </w:rPr>
        <w:footnoteRef/>
      </w:r>
      <w:r w:rsidRPr="001A0824">
        <w:rPr>
          <w:rFonts w:ascii="Book Antiqua" w:hAnsi="Book Antiqua"/>
        </w:rPr>
        <w:t xml:space="preserve"> Ídem.</w:t>
      </w:r>
    </w:p>
  </w:footnote>
  <w:footnote w:id="3">
    <w:p w:rsidR="001A0824" w:rsidRPr="001A0824" w:rsidRDefault="001A0824">
      <w:pPr>
        <w:pStyle w:val="Textonotapie"/>
        <w:rPr>
          <w:rFonts w:ascii="Book Antiqua" w:hAnsi="Book Antiqua"/>
        </w:rPr>
      </w:pPr>
      <w:r w:rsidRPr="001A0824">
        <w:rPr>
          <w:rStyle w:val="Refdenotaalpie"/>
          <w:rFonts w:ascii="Book Antiqua" w:hAnsi="Book Antiqua"/>
        </w:rPr>
        <w:footnoteRef/>
      </w:r>
      <w:r w:rsidRPr="001A0824">
        <w:rPr>
          <w:rFonts w:ascii="Book Antiqua" w:hAnsi="Book Antiqua"/>
        </w:rPr>
        <w:t xml:space="preserve"> Caros López Beltrán, “Para una crítica de la noción de </w:t>
      </w:r>
      <w:r w:rsidRPr="001A0824">
        <w:rPr>
          <w:rFonts w:ascii="Book Antiqua" w:hAnsi="Book Antiqua"/>
          <w:i/>
          <w:iCs/>
        </w:rPr>
        <w:t>raza</w:t>
      </w:r>
      <w:r w:rsidRPr="001A0824">
        <w:rPr>
          <w:rFonts w:ascii="Book Antiqua" w:hAnsi="Book Antiqua"/>
        </w:rPr>
        <w:t xml:space="preserve">”, en </w:t>
      </w:r>
      <w:r w:rsidRPr="001A0824">
        <w:rPr>
          <w:rFonts w:ascii="Book Antiqua" w:hAnsi="Book Antiqua"/>
          <w:i/>
          <w:iCs/>
        </w:rPr>
        <w:t>Ciencias</w:t>
      </w:r>
      <w:r w:rsidRPr="001A0824">
        <w:rPr>
          <w:rFonts w:ascii="Book Antiqua" w:hAnsi="Book Antiqua"/>
        </w:rPr>
        <w:t xml:space="preserve"> 60-61, 2000-2001.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86A"/>
    <w:rsid w:val="001A0824"/>
    <w:rsid w:val="00226528"/>
    <w:rsid w:val="0025586A"/>
    <w:rsid w:val="002637F5"/>
    <w:rsid w:val="00D4245F"/>
    <w:rsid w:val="00D93B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EB829"/>
  <w15:chartTrackingRefBased/>
  <w15:docId w15:val="{4719683B-3A9D-425A-A4F0-58CD960DB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1A0824"/>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1A0824"/>
    <w:rPr>
      <w:sz w:val="20"/>
      <w:szCs w:val="20"/>
    </w:rPr>
  </w:style>
  <w:style w:type="character" w:styleId="Refdenotaalpie">
    <w:name w:val="footnote reference"/>
    <w:basedOn w:val="Fuentedeprrafopredeter"/>
    <w:uiPriority w:val="99"/>
    <w:semiHidden/>
    <w:unhideWhenUsed/>
    <w:rsid w:val="001A0824"/>
    <w:rPr>
      <w:vertAlign w:val="superscript"/>
    </w:rPr>
  </w:style>
  <w:style w:type="paragraph" w:styleId="Encabezado">
    <w:name w:val="header"/>
    <w:basedOn w:val="Normal"/>
    <w:link w:val="EncabezadoCar"/>
    <w:uiPriority w:val="99"/>
    <w:unhideWhenUsed/>
    <w:rsid w:val="001A082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A0824"/>
  </w:style>
  <w:style w:type="paragraph" w:styleId="Piedepgina">
    <w:name w:val="footer"/>
    <w:basedOn w:val="Normal"/>
    <w:link w:val="PiedepginaCar"/>
    <w:uiPriority w:val="99"/>
    <w:unhideWhenUsed/>
    <w:rsid w:val="001A082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A0824"/>
  </w:style>
  <w:style w:type="character" w:styleId="Hipervnculo">
    <w:name w:val="Hyperlink"/>
    <w:basedOn w:val="Fuentedeprrafopredeter"/>
    <w:uiPriority w:val="99"/>
    <w:unhideWhenUsed/>
    <w:rsid w:val="001A0824"/>
    <w:rPr>
      <w:color w:val="0563C1" w:themeColor="hyperlink"/>
      <w:u w:val="single"/>
    </w:rPr>
  </w:style>
  <w:style w:type="character" w:styleId="Mencinsinresolver">
    <w:name w:val="Unresolved Mention"/>
    <w:basedOn w:val="Fuentedeprrafopredeter"/>
    <w:uiPriority w:val="99"/>
    <w:semiHidden/>
    <w:unhideWhenUsed/>
    <w:rsid w:val="001A08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youtu.be/q3MZJcEomE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59A6-A0BC-4149-9937-99F983511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502</Words>
  <Characters>2763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Héctor Eduardo Luna López</dc:creator>
  <cp:keywords/>
  <dc:description/>
  <cp:lastModifiedBy>Héctor Eduardo Luna López</cp:lastModifiedBy>
  <cp:revision>3</cp:revision>
  <dcterms:created xsi:type="dcterms:W3CDTF">2020-02-19T21:01:00Z</dcterms:created>
  <dcterms:modified xsi:type="dcterms:W3CDTF">2020-02-19T21:53:00Z</dcterms:modified>
</cp:coreProperties>
</file>