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DA5" w:rsidRPr="004E2DA5" w:rsidRDefault="004E2DA5" w:rsidP="004E2DA5">
      <w:pPr>
        <w:rPr>
          <w:rFonts w:ascii="Arial" w:hAnsi="Arial" w:cs="Arial"/>
          <w:sz w:val="24"/>
          <w:szCs w:val="24"/>
        </w:rPr>
      </w:pPr>
      <w:r w:rsidRPr="004E2DA5">
        <w:rPr>
          <w:rFonts w:ascii="Arial" w:hAnsi="Arial" w:cs="Arial"/>
          <w:sz w:val="24"/>
          <w:szCs w:val="24"/>
        </w:rPr>
        <w:t>Tarea 2.2</w:t>
      </w:r>
      <w:r>
        <w:rPr>
          <w:rFonts w:ascii="Arial" w:hAnsi="Arial" w:cs="Arial"/>
          <w:sz w:val="24"/>
          <w:szCs w:val="24"/>
        </w:rPr>
        <w:br/>
      </w:r>
      <w:r w:rsidRPr="004E2DA5">
        <w:rPr>
          <w:rFonts w:ascii="Arial" w:hAnsi="Arial" w:cs="Arial"/>
          <w:sz w:val="24"/>
          <w:szCs w:val="24"/>
        </w:rPr>
        <w:t xml:space="preserve">En una tabla comparativa señala las diferencias y similitudes entre las posturas expuestas por las Dras. María Elisa Velázquez y Verónica López Nájera sobre la existencia del racismo durante el periodo virreinal. </w:t>
      </w:r>
      <w:proofErr w:type="gramStart"/>
      <w:r w:rsidRPr="004E2DA5">
        <w:rPr>
          <w:rFonts w:ascii="Arial" w:hAnsi="Arial" w:cs="Arial"/>
          <w:sz w:val="24"/>
          <w:szCs w:val="24"/>
        </w:rPr>
        <w:t>Posteriormente</w:t>
      </w:r>
      <w:proofErr w:type="gramEnd"/>
      <w:r w:rsidRPr="004E2DA5">
        <w:rPr>
          <w:rFonts w:ascii="Arial" w:hAnsi="Arial" w:cs="Arial"/>
          <w:sz w:val="24"/>
          <w:szCs w:val="24"/>
        </w:rPr>
        <w:t xml:space="preserve"> explica brevemente tu postura personal al respecto. Máximo 2 cuartillas.</w:t>
      </w:r>
    </w:p>
    <w:p w:rsidR="004E2DA5" w:rsidRPr="004E2DA5" w:rsidRDefault="004E2DA5" w:rsidP="004E2DA5">
      <w:pPr>
        <w:jc w:val="right"/>
        <w:rPr>
          <w:rFonts w:ascii="Arial" w:hAnsi="Arial" w:cs="Arial"/>
          <w:sz w:val="24"/>
          <w:szCs w:val="24"/>
        </w:rPr>
      </w:pPr>
      <w:r w:rsidRPr="004E2DA5">
        <w:rPr>
          <w:rFonts w:ascii="Arial" w:hAnsi="Arial" w:cs="Arial"/>
          <w:sz w:val="24"/>
          <w:szCs w:val="24"/>
        </w:rPr>
        <w:t>David Alejandro Gómez Arriaga</w:t>
      </w:r>
    </w:p>
    <w:tbl>
      <w:tblPr>
        <w:tblStyle w:val="Tablaconcuadrcula"/>
        <w:tblpPr w:leftFromText="141" w:rightFromText="141" w:vertAnchor="page" w:horzAnchor="margin" w:tblpY="3946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E2DA5">
              <w:rPr>
                <w:rFonts w:ascii="Arial" w:hAnsi="Arial" w:cs="Arial"/>
                <w:sz w:val="24"/>
                <w:szCs w:val="24"/>
              </w:rPr>
              <w:t>Difrencias</w:t>
            </w:r>
            <w:proofErr w:type="spellEnd"/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>Similitudes</w:t>
            </w:r>
          </w:p>
        </w:tc>
      </w:tr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 xml:space="preserve">Para Verónica la forma de interpretar las ideas de las autoridades coloniales, como fuentes historiográficas es evidente que el sesgo de las personas ya tiene una perspectiva colonial, </w:t>
            </w:r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>Ambas investigadoras plantean la diversidad de las relaciones raciales, en tiempo y espacio, no podemos hablar de “una colonia” ni de “los virreinatos” de manera abstracta, como un periodo homogéneo.</w:t>
            </w:r>
          </w:p>
        </w:tc>
      </w:tr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 xml:space="preserve">Quijano habla de que existe una relación entre modernidad, capitalismo y </w:t>
            </w:r>
            <w:proofErr w:type="spellStart"/>
            <w:r w:rsidRPr="004E2DA5">
              <w:rPr>
                <w:rFonts w:ascii="Arial" w:hAnsi="Arial" w:cs="Arial"/>
                <w:sz w:val="24"/>
                <w:szCs w:val="24"/>
              </w:rPr>
              <w:t>colonialidad</w:t>
            </w:r>
            <w:proofErr w:type="spellEnd"/>
            <w:r w:rsidRPr="004E2DA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>Ambas hablan de que las perspectivas coloniales se continúan viviendo en el presente</w:t>
            </w:r>
          </w:p>
        </w:tc>
      </w:tr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 xml:space="preserve">Para Quijano y Verónica las formas de organizar a las personas a través de parámetros raciales es una idea globalizada, heterogénea pero compartida. Para Velázquez, las formas de ver a “las razas” y “el mestizaje” no son tan globalizadas porque </w:t>
            </w:r>
            <w:proofErr w:type="gramStart"/>
            <w:r w:rsidRPr="004E2DA5">
              <w:rPr>
                <w:rFonts w:ascii="Arial" w:hAnsi="Arial" w:cs="Arial"/>
                <w:sz w:val="24"/>
                <w:szCs w:val="24"/>
              </w:rPr>
              <w:t>estaban  sujetas</w:t>
            </w:r>
            <w:proofErr w:type="gramEnd"/>
            <w:r w:rsidRPr="004E2DA5">
              <w:rPr>
                <w:rFonts w:ascii="Arial" w:hAnsi="Arial" w:cs="Arial"/>
                <w:sz w:val="24"/>
                <w:szCs w:val="24"/>
              </w:rPr>
              <w:t xml:space="preserve"> a regionalismos, periodos de tiempo, modas inclusive</w:t>
            </w:r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>No fue un proceso inmediato, fue un proceso que se dio a través de siglos.</w:t>
            </w:r>
          </w:p>
        </w:tc>
      </w:tr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 xml:space="preserve">Para López la idea de raza crea el elemento de identidad que sirve como la clasificación de las sociedades de una manera jerarquizada, </w:t>
            </w:r>
            <w:proofErr w:type="spellStart"/>
            <w:r w:rsidRPr="004E2DA5"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 w:rsidRPr="004E2DA5">
              <w:rPr>
                <w:rFonts w:ascii="Arial" w:hAnsi="Arial" w:cs="Arial"/>
                <w:sz w:val="24"/>
                <w:szCs w:val="24"/>
              </w:rPr>
              <w:t xml:space="preserve"> Elisa habla sobre la movilidad racial dentro de las sociedades, aunque si hay una preferencia a lo blanco/europeo si existen oportunidades de movilidad social, no es una estructura jerárquica piramidal (yo estoy de acuerdo con la visión de </w:t>
            </w:r>
            <w:proofErr w:type="spellStart"/>
            <w:r w:rsidRPr="004E2DA5">
              <w:rPr>
                <w:rFonts w:ascii="Arial" w:hAnsi="Arial" w:cs="Arial"/>
                <w:sz w:val="24"/>
                <w:szCs w:val="24"/>
              </w:rPr>
              <w:t>Maria</w:t>
            </w:r>
            <w:proofErr w:type="spellEnd"/>
            <w:r w:rsidRPr="004E2DA5">
              <w:rPr>
                <w:rFonts w:ascii="Arial" w:hAnsi="Arial" w:cs="Arial"/>
                <w:sz w:val="24"/>
                <w:szCs w:val="24"/>
              </w:rPr>
              <w:t xml:space="preserve"> Elisa en este punto)</w:t>
            </w:r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>El sistema de catas no es una organización acabada.</w:t>
            </w:r>
          </w:p>
        </w:tc>
      </w:tr>
      <w:tr w:rsidR="004E2DA5" w:rsidRPr="004E2DA5" w:rsidTr="004E2DA5"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  <w:r w:rsidRPr="004E2DA5">
              <w:rPr>
                <w:rFonts w:ascii="Arial" w:hAnsi="Arial" w:cs="Arial"/>
                <w:sz w:val="24"/>
                <w:szCs w:val="24"/>
              </w:rPr>
              <w:t xml:space="preserve">El modelo que López plantea creado por Quijano habla de que la identificación </w:t>
            </w:r>
            <w:proofErr w:type="spellStart"/>
            <w:r w:rsidRPr="004E2DA5">
              <w:rPr>
                <w:rFonts w:ascii="Arial" w:hAnsi="Arial" w:cs="Arial"/>
                <w:sz w:val="24"/>
                <w:szCs w:val="24"/>
              </w:rPr>
              <w:t>sexogenérica</w:t>
            </w:r>
            <w:proofErr w:type="spellEnd"/>
            <w:r w:rsidRPr="004E2DA5">
              <w:rPr>
                <w:rFonts w:ascii="Arial" w:hAnsi="Arial" w:cs="Arial"/>
                <w:sz w:val="24"/>
                <w:szCs w:val="24"/>
              </w:rPr>
              <w:t xml:space="preserve"> a través del matrimonio promovía la familia burguesa representada por las personas blancas no necesariamente </w:t>
            </w:r>
            <w:r w:rsidRPr="004E2DA5">
              <w:rPr>
                <w:rFonts w:ascii="Arial" w:hAnsi="Arial" w:cs="Arial"/>
                <w:sz w:val="24"/>
                <w:szCs w:val="24"/>
              </w:rPr>
              <w:lastRenderedPageBreak/>
              <w:t xml:space="preserve">estaba disponible para personas nativas ni negras, para Ma Elisa (que he visto en registros parroquiales), y en cuadros de castas, estas </w:t>
            </w:r>
            <w:proofErr w:type="gramStart"/>
            <w:r w:rsidRPr="004E2DA5">
              <w:rPr>
                <w:rFonts w:ascii="Arial" w:hAnsi="Arial" w:cs="Arial"/>
                <w:sz w:val="24"/>
                <w:szCs w:val="24"/>
              </w:rPr>
              <w:t>uniones  quedaban</w:t>
            </w:r>
            <w:proofErr w:type="gramEnd"/>
            <w:r w:rsidRPr="004E2DA5">
              <w:rPr>
                <w:rFonts w:ascii="Arial" w:hAnsi="Arial" w:cs="Arial"/>
                <w:sz w:val="24"/>
                <w:szCs w:val="24"/>
              </w:rPr>
              <w:t xml:space="preserve"> registrados.</w:t>
            </w:r>
          </w:p>
        </w:tc>
        <w:tc>
          <w:tcPr>
            <w:tcW w:w="4414" w:type="dxa"/>
          </w:tcPr>
          <w:p w:rsidR="004E2DA5" w:rsidRPr="004E2DA5" w:rsidRDefault="004E2DA5" w:rsidP="004E2D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F54C6" w:rsidRPr="004E2DA5" w:rsidRDefault="004E2DA5" w:rsidP="004E2DA5">
      <w:pPr>
        <w:jc w:val="right"/>
        <w:rPr>
          <w:rFonts w:ascii="Arial" w:hAnsi="Arial" w:cs="Arial"/>
          <w:sz w:val="24"/>
          <w:szCs w:val="24"/>
        </w:rPr>
      </w:pPr>
    </w:p>
    <w:p w:rsidR="004E2DA5" w:rsidRDefault="004E2DA5" w:rsidP="004E2DA5">
      <w:pPr>
        <w:jc w:val="right"/>
      </w:pPr>
      <w:bookmarkStart w:id="0" w:name="_GoBack"/>
      <w:bookmarkEnd w:id="0"/>
    </w:p>
    <w:sectPr w:rsidR="004E2D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12F"/>
    <w:rsid w:val="001B6929"/>
    <w:rsid w:val="004E2DA5"/>
    <w:rsid w:val="005374AF"/>
    <w:rsid w:val="007E57E1"/>
    <w:rsid w:val="0082488E"/>
    <w:rsid w:val="008F57A9"/>
    <w:rsid w:val="00965394"/>
    <w:rsid w:val="00CE712F"/>
    <w:rsid w:val="00F5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83136"/>
  <w15:chartTrackingRefBased/>
  <w15:docId w15:val="{6BF9C74E-2EB7-4ACF-B5E5-8214404D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57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7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Alejandro Gómez Arriaga</dc:creator>
  <cp:keywords/>
  <dc:description/>
  <cp:lastModifiedBy>David Alejandro Gómez Arriaga</cp:lastModifiedBy>
  <cp:revision>1</cp:revision>
  <dcterms:created xsi:type="dcterms:W3CDTF">2020-03-07T17:00:00Z</dcterms:created>
  <dcterms:modified xsi:type="dcterms:W3CDTF">2020-03-07T17:32:00Z</dcterms:modified>
</cp:coreProperties>
</file>